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19" w:rsidRDefault="00313619">
      <w:pPr>
        <w:pStyle w:val="BodyText"/>
        <w:spacing w:before="4"/>
        <w:rPr>
          <w:rFonts w:ascii="Times New Roman"/>
          <w:sz w:val="26"/>
        </w:rPr>
      </w:pPr>
      <w:bookmarkStart w:id="0" w:name="_GoBack"/>
      <w:bookmarkEnd w:id="0"/>
    </w:p>
    <w:p w:rsidR="00313619" w:rsidRDefault="00E71CD4">
      <w:pPr>
        <w:spacing w:before="100"/>
        <w:ind w:left="130"/>
        <w:rPr>
          <w:sz w:val="16"/>
        </w:rPr>
      </w:pPr>
      <w:r>
        <w:rPr>
          <w:color w:val="231F20"/>
          <w:w w:val="105"/>
          <w:sz w:val="16"/>
        </w:rPr>
        <w:t>Print ISSN: 2671-4981 / Online ISSN: 2671-499X</w:t>
      </w:r>
    </w:p>
    <w:p w:rsidR="00313619" w:rsidRDefault="00E71CD4">
      <w:pPr>
        <w:spacing w:before="34"/>
        <w:ind w:left="130"/>
        <w:rPr>
          <w:sz w:val="16"/>
        </w:rPr>
      </w:pPr>
      <w:r>
        <w:rPr>
          <w:color w:val="231F20"/>
          <w:w w:val="105"/>
          <w:sz w:val="16"/>
        </w:rPr>
        <w:t>doi:</w:t>
      </w:r>
    </w:p>
    <w:p w:rsidR="00313619" w:rsidRDefault="00313619">
      <w:pPr>
        <w:pStyle w:val="BodyText"/>
        <w:rPr>
          <w:sz w:val="18"/>
        </w:rPr>
      </w:pPr>
    </w:p>
    <w:p w:rsidR="00313619" w:rsidRPr="00080649" w:rsidRDefault="00080649" w:rsidP="00080649">
      <w:pPr>
        <w:pStyle w:val="Title"/>
        <w:spacing w:line="278" w:lineRule="auto"/>
        <w:rPr>
          <w:color w:val="231F20"/>
          <w:lang w:val="id-ID"/>
        </w:rPr>
      </w:pPr>
      <w:r w:rsidRPr="002B7F90">
        <w:rPr>
          <w:strike/>
          <w:color w:val="FF0000"/>
        </w:rPr>
        <w:t xml:space="preserve">Performance </w:t>
      </w:r>
      <w:r w:rsidRPr="002B7F90">
        <w:rPr>
          <w:strike/>
          <w:color w:val="FF0000"/>
          <w:lang w:val="id-ID"/>
        </w:rPr>
        <w:t>o</w:t>
      </w:r>
      <w:r w:rsidRPr="002B7F90">
        <w:rPr>
          <w:strike/>
          <w:color w:val="FF0000"/>
        </w:rPr>
        <w:t xml:space="preserve">f </w:t>
      </w:r>
      <w:r w:rsidRPr="002B7F90">
        <w:rPr>
          <w:strike/>
          <w:color w:val="FF0000"/>
          <w:lang w:val="id-ID"/>
        </w:rPr>
        <w:t>t</w:t>
      </w:r>
      <w:r w:rsidRPr="002B7F90">
        <w:rPr>
          <w:strike/>
          <w:color w:val="FF0000"/>
        </w:rPr>
        <w:t xml:space="preserve">he Economy </w:t>
      </w:r>
      <w:r w:rsidRPr="002B7F90">
        <w:rPr>
          <w:strike/>
          <w:color w:val="FF0000"/>
          <w:lang w:val="id-ID"/>
        </w:rPr>
        <w:t>on</w:t>
      </w:r>
      <w:r w:rsidRPr="002B7F90">
        <w:rPr>
          <w:color w:val="FF0000"/>
        </w:rPr>
        <w:t xml:space="preserve"> </w:t>
      </w:r>
      <w:r w:rsidR="00D00B96">
        <w:rPr>
          <w:color w:val="FF0000"/>
        </w:rPr>
        <w:t xml:space="preserve">Economic Performance of </w:t>
      </w:r>
      <w:r w:rsidRPr="00080649">
        <w:rPr>
          <w:color w:val="231F20"/>
        </w:rPr>
        <w:t>Malinau Regency</w:t>
      </w:r>
      <w:r>
        <w:rPr>
          <w:color w:val="231F20"/>
          <w:lang w:val="id-ID"/>
        </w:rPr>
        <w:t xml:space="preserve">: </w:t>
      </w:r>
      <w:r w:rsidRPr="00080649">
        <w:rPr>
          <w:color w:val="231F20"/>
        </w:rPr>
        <w:t>Leading Sector, Economic Structure</w:t>
      </w:r>
      <w:r w:rsidR="00666D7E">
        <w:rPr>
          <w:color w:val="231F20"/>
          <w:lang w:val="id-ID"/>
        </w:rPr>
        <w:t>,</w:t>
      </w:r>
      <w:r w:rsidRPr="00080649">
        <w:rPr>
          <w:color w:val="231F20"/>
        </w:rPr>
        <w:t xml:space="preserve"> and Compet</w:t>
      </w:r>
      <w:r>
        <w:rPr>
          <w:color w:val="231F20"/>
        </w:rPr>
        <w:t>itiveness of Export Commodities</w:t>
      </w:r>
    </w:p>
    <w:p w:rsidR="00313619" w:rsidRDefault="00313619">
      <w:pPr>
        <w:pStyle w:val="BodyText"/>
        <w:rPr>
          <w:rFonts w:ascii="Times New Roman"/>
          <w:b/>
          <w:sz w:val="45"/>
        </w:rPr>
      </w:pPr>
    </w:p>
    <w:p w:rsidR="00313619" w:rsidRPr="00341D13" w:rsidRDefault="00341D13">
      <w:pPr>
        <w:ind w:left="320" w:right="458"/>
        <w:jc w:val="center"/>
        <w:rPr>
          <w:rFonts w:ascii="Times New Roman"/>
          <w:b/>
          <w:sz w:val="21"/>
          <w:lang w:val="id-ID"/>
        </w:rPr>
      </w:pPr>
      <w:r>
        <w:rPr>
          <w:rFonts w:ascii="Times New Roman"/>
          <w:b/>
          <w:color w:val="231F20"/>
          <w:sz w:val="21"/>
          <w:lang w:val="id-ID"/>
        </w:rPr>
        <w:t>Adi</w:t>
      </w:r>
      <w:r w:rsidR="00E71CD4">
        <w:rPr>
          <w:rFonts w:ascii="Times New Roman"/>
          <w:b/>
          <w:color w:val="231F20"/>
          <w:sz w:val="21"/>
        </w:rPr>
        <w:t xml:space="preserve"> </w:t>
      </w:r>
      <w:r>
        <w:rPr>
          <w:rFonts w:ascii="Times New Roman"/>
          <w:b/>
          <w:color w:val="231F20"/>
          <w:sz w:val="21"/>
          <w:lang w:val="id-ID"/>
        </w:rPr>
        <w:t>WIJAYA</w:t>
      </w:r>
      <w:r w:rsidR="00E71CD4">
        <w:rPr>
          <w:rFonts w:ascii="Times New Roman"/>
          <w:b/>
          <w:color w:val="231F20"/>
          <w:sz w:val="21"/>
        </w:rPr>
        <w:t xml:space="preserve">*, </w:t>
      </w:r>
      <w:r>
        <w:rPr>
          <w:rFonts w:ascii="Times New Roman"/>
          <w:b/>
          <w:color w:val="231F20"/>
          <w:sz w:val="21"/>
          <w:lang w:val="id-ID"/>
        </w:rPr>
        <w:t>Dio Caisar</w:t>
      </w:r>
      <w:r w:rsidR="00E71CD4">
        <w:rPr>
          <w:rFonts w:ascii="Times New Roman"/>
          <w:b/>
          <w:color w:val="231F20"/>
          <w:sz w:val="21"/>
        </w:rPr>
        <w:t xml:space="preserve"> </w:t>
      </w:r>
      <w:r>
        <w:rPr>
          <w:rFonts w:ascii="Times New Roman"/>
          <w:b/>
          <w:color w:val="231F20"/>
          <w:sz w:val="21"/>
          <w:lang w:val="id-ID"/>
        </w:rPr>
        <w:t>DARMA</w:t>
      </w:r>
      <w:r w:rsidR="00E71CD4">
        <w:rPr>
          <w:rFonts w:ascii="Times New Roman"/>
          <w:b/>
          <w:color w:val="231F20"/>
          <w:sz w:val="21"/>
        </w:rPr>
        <w:t>**</w:t>
      </w:r>
    </w:p>
    <w:p w:rsidR="00313619" w:rsidRPr="00F9739E" w:rsidRDefault="00313619">
      <w:pPr>
        <w:pStyle w:val="BodyText"/>
        <w:spacing w:before="10"/>
        <w:rPr>
          <w:rFonts w:ascii="Times New Roman"/>
          <w:b/>
          <w:color w:val="000000" w:themeColor="text1"/>
          <w:sz w:val="23"/>
        </w:rPr>
      </w:pPr>
    </w:p>
    <w:p w:rsidR="00313619" w:rsidRPr="00341D13" w:rsidRDefault="00E71CD4">
      <w:pPr>
        <w:ind w:left="319" w:right="458"/>
        <w:jc w:val="center"/>
        <w:rPr>
          <w:b/>
          <w:color w:val="FFFFFF" w:themeColor="background1"/>
          <w:sz w:val="15"/>
        </w:rPr>
      </w:pPr>
      <w:r w:rsidRPr="00F9739E">
        <w:rPr>
          <w:b/>
          <w:color w:val="000000" w:themeColor="text1"/>
          <w:w w:val="105"/>
          <w:sz w:val="15"/>
        </w:rPr>
        <w:t>Received:</w:t>
      </w:r>
      <w:r w:rsidR="00F9739E">
        <w:rPr>
          <w:b/>
          <w:color w:val="000000" w:themeColor="text1"/>
          <w:w w:val="105"/>
          <w:sz w:val="15"/>
          <w:lang w:val="id-ID"/>
        </w:rPr>
        <w:t>..........</w:t>
      </w:r>
      <w:r w:rsidRPr="00F9739E">
        <w:rPr>
          <w:b/>
          <w:color w:val="000000" w:themeColor="text1"/>
          <w:w w:val="105"/>
          <w:sz w:val="15"/>
        </w:rPr>
        <w:t xml:space="preserve">, 2019. Revised: </w:t>
      </w:r>
      <w:r w:rsidR="00F9739E">
        <w:rPr>
          <w:b/>
          <w:color w:val="000000" w:themeColor="text1"/>
          <w:w w:val="105"/>
          <w:sz w:val="15"/>
          <w:lang w:val="id-ID"/>
        </w:rPr>
        <w:t>.........</w:t>
      </w:r>
      <w:r w:rsidRPr="00F9739E">
        <w:rPr>
          <w:b/>
          <w:color w:val="000000" w:themeColor="text1"/>
          <w:w w:val="105"/>
          <w:sz w:val="15"/>
        </w:rPr>
        <w:t xml:space="preserve">. Accepted: </w:t>
      </w:r>
      <w:r w:rsidR="00F9739E">
        <w:rPr>
          <w:b/>
          <w:color w:val="000000" w:themeColor="text1"/>
          <w:w w:val="105"/>
          <w:sz w:val="15"/>
          <w:lang w:val="id-ID"/>
        </w:rPr>
        <w:t>.........</w:t>
      </w:r>
      <w:r w:rsidRPr="00341D13">
        <w:rPr>
          <w:b/>
          <w:color w:val="FFFFFF" w:themeColor="background1"/>
          <w:w w:val="105"/>
          <w:sz w:val="15"/>
        </w:rPr>
        <w:t>.</w:t>
      </w:r>
    </w:p>
    <w:p w:rsidR="001C074B" w:rsidRPr="00003219" w:rsidRDefault="000052EA" w:rsidP="00003219">
      <w:pPr>
        <w:pStyle w:val="BodyText"/>
        <w:spacing w:before="8"/>
        <w:rPr>
          <w:b/>
          <w:sz w:val="10"/>
        </w:rPr>
      </w:pPr>
      <w:r>
        <w:rPr>
          <w:noProof/>
          <w:lang w:eastAsia="ko-KR"/>
        </w:rPr>
        <mc:AlternateContent>
          <mc:Choice Requires="wps">
            <w:drawing>
              <wp:anchor distT="0" distB="0" distL="0" distR="0" simplePos="0" relativeHeight="487587840" behindDoc="1" locked="0" layoutInCell="1" allowOverlap="1">
                <wp:simplePos x="0" y="0"/>
                <wp:positionH relativeFrom="page">
                  <wp:posOffset>740410</wp:posOffset>
                </wp:positionH>
                <wp:positionV relativeFrom="paragraph">
                  <wp:posOffset>102870</wp:posOffset>
                </wp:positionV>
                <wp:extent cx="6290945" cy="6350"/>
                <wp:effectExtent l="0" t="0" r="0" b="0"/>
                <wp:wrapTopAndBottom/>
                <wp:docPr id="18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73AE6" id="Rectangle 177" o:spid="_x0000_s1026" style="position:absolute;margin-left:58.3pt;margin-top:8.1pt;width:495.3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" fillcolor="#231f20" stroked="f">
                <w10:wrap type="topAndBottom" anchorx="page"/>
              </v:rect>
            </w:pict>
          </mc:Fallback>
        </mc:AlternateContent>
      </w:r>
      <w:r w:rsidR="00003219">
        <w:rPr>
          <w:color w:val="FF0000"/>
          <w:w w:val="115"/>
          <w:sz w:val="20"/>
          <w:szCs w:val="20"/>
        </w:rPr>
        <w:t>Title does not seem to match the content.  Also</w:t>
      </w:r>
      <w:r w:rsidR="00CC3DDB">
        <w:rPr>
          <w:color w:val="FF0000"/>
          <w:w w:val="115"/>
          <w:sz w:val="20"/>
          <w:szCs w:val="20"/>
        </w:rPr>
        <w:t>,</w:t>
      </w:r>
      <w:r w:rsidR="00003219">
        <w:rPr>
          <w:color w:val="FF0000"/>
          <w:w w:val="115"/>
          <w:sz w:val="20"/>
          <w:szCs w:val="20"/>
        </w:rPr>
        <w:t xml:space="preserve"> not sure </w:t>
      </w:r>
      <w:r w:rsidR="001C074B">
        <w:rPr>
          <w:color w:val="FF0000"/>
          <w:w w:val="115"/>
          <w:sz w:val="20"/>
          <w:szCs w:val="20"/>
        </w:rPr>
        <w:t>what “Novelty” section is, but it should be redone or deleted.  Conclusion section should be redone and include what the authors are trying to say in the “Novelty” section.</w:t>
      </w:r>
    </w:p>
    <w:p w:rsidR="001C074B" w:rsidRDefault="001C074B">
      <w:pPr>
        <w:spacing w:before="92"/>
        <w:ind w:left="318" w:right="458"/>
        <w:jc w:val="center"/>
        <w:rPr>
          <w:color w:val="231F20"/>
          <w:w w:val="115"/>
          <w:sz w:val="23"/>
        </w:rPr>
      </w:pPr>
    </w:p>
    <w:p w:rsidR="00313619" w:rsidRDefault="00E71CD4">
      <w:pPr>
        <w:spacing w:before="92"/>
        <w:ind w:left="318" w:right="458"/>
        <w:jc w:val="center"/>
        <w:rPr>
          <w:sz w:val="23"/>
        </w:rPr>
      </w:pPr>
      <w:r>
        <w:rPr>
          <w:color w:val="231F20"/>
          <w:w w:val="115"/>
          <w:sz w:val="23"/>
        </w:rPr>
        <w:t>Abstract</w:t>
      </w:r>
    </w:p>
    <w:p w:rsidR="00313619" w:rsidRPr="006F42EC" w:rsidRDefault="00E71CD4">
      <w:pPr>
        <w:spacing w:before="120" w:line="288" w:lineRule="auto"/>
        <w:ind w:left="130" w:right="270"/>
        <w:jc w:val="both"/>
        <w:rPr>
          <w:color w:val="FF0000"/>
          <w:sz w:val="15"/>
        </w:rPr>
      </w:pPr>
      <w:r>
        <w:rPr>
          <w:b/>
          <w:color w:val="231F20"/>
          <w:w w:val="105"/>
          <w:sz w:val="15"/>
        </w:rPr>
        <w:t>Purpose</w:t>
      </w:r>
      <w:r>
        <w:rPr>
          <w:b/>
          <w:color w:val="231F20"/>
          <w:spacing w:val="-8"/>
          <w:w w:val="105"/>
          <w:sz w:val="15"/>
        </w:rPr>
        <w:t xml:space="preserve"> </w:t>
      </w:r>
      <w:r>
        <w:rPr>
          <w:color w:val="231F20"/>
          <w:w w:val="105"/>
          <w:sz w:val="15"/>
        </w:rPr>
        <w:t>-</w:t>
      </w:r>
      <w:r>
        <w:rPr>
          <w:color w:val="231F20"/>
          <w:spacing w:val="-7"/>
          <w:w w:val="105"/>
          <w:sz w:val="15"/>
        </w:rPr>
        <w:t xml:space="preserve"> </w:t>
      </w:r>
      <w:r w:rsidR="00341D13" w:rsidRPr="00341D13">
        <w:rPr>
          <w:color w:val="231F20"/>
          <w:w w:val="105"/>
          <w:sz w:val="15"/>
        </w:rPr>
        <w:t xml:space="preserve">The purpose of this research is </w:t>
      </w:r>
      <w:r w:rsidR="00341D13" w:rsidRPr="006F42EC">
        <w:rPr>
          <w:color w:val="231F20"/>
          <w:w w:val="105"/>
          <w:sz w:val="15"/>
          <w:highlight w:val="yellow"/>
        </w:rPr>
        <w:t>for</w:t>
      </w:r>
      <w:r w:rsidR="00341D13" w:rsidRPr="00341D13">
        <w:rPr>
          <w:color w:val="231F20"/>
          <w:w w:val="105"/>
          <w:sz w:val="15"/>
        </w:rPr>
        <w:t xml:space="preserve"> the leading sector, pattern of shifting structure of economic sector</w:t>
      </w:r>
      <w:r w:rsidR="00163FE1">
        <w:rPr>
          <w:color w:val="231F20"/>
          <w:w w:val="105"/>
          <w:sz w:val="15"/>
          <w:lang w:val="id-ID"/>
        </w:rPr>
        <w:t>,</w:t>
      </w:r>
      <w:r w:rsidR="00341D13" w:rsidRPr="00341D13">
        <w:rPr>
          <w:color w:val="231F20"/>
          <w:w w:val="105"/>
          <w:sz w:val="15"/>
        </w:rPr>
        <w:t xml:space="preserve"> and community export competitiveness on economy Malinau Regency.</w:t>
      </w:r>
      <w:r w:rsidR="006F42EC">
        <w:rPr>
          <w:color w:val="FF0000"/>
          <w:w w:val="105"/>
          <w:sz w:val="15"/>
        </w:rPr>
        <w:t>--</w:t>
      </w:r>
      <w:r w:rsidR="00FE25D6">
        <w:rPr>
          <w:color w:val="FF0000"/>
          <w:w w:val="105"/>
          <w:sz w:val="15"/>
        </w:rPr>
        <w:t xml:space="preserve"> rephrase</w:t>
      </w:r>
    </w:p>
    <w:p w:rsidR="00313619" w:rsidRPr="00FE25D6" w:rsidRDefault="00E71CD4">
      <w:pPr>
        <w:spacing w:line="285" w:lineRule="auto"/>
        <w:ind w:left="130" w:right="269"/>
        <w:jc w:val="both"/>
        <w:rPr>
          <w:color w:val="FF0000"/>
          <w:sz w:val="15"/>
        </w:rPr>
      </w:pPr>
      <w:r>
        <w:rPr>
          <w:b/>
          <w:color w:val="231F20"/>
          <w:w w:val="105"/>
          <w:sz w:val="15"/>
        </w:rPr>
        <w:t xml:space="preserve">Research design, data and methodology </w:t>
      </w:r>
      <w:r>
        <w:rPr>
          <w:color w:val="231F20"/>
          <w:w w:val="105"/>
          <w:sz w:val="15"/>
        </w:rPr>
        <w:t xml:space="preserve">- </w:t>
      </w:r>
      <w:r w:rsidR="00341D13" w:rsidRPr="00341D13">
        <w:rPr>
          <w:color w:val="231F20"/>
          <w:w w:val="105"/>
          <w:sz w:val="15"/>
        </w:rPr>
        <w:t>This type of quantitative explorative research, where the type of data used is secondary data (time series) with a quantitative approach of 2009-2018 obtained from the Central Bureau of Statistics and the Planning and Development at Malinau Regency and North Kalimantan Province.</w:t>
      </w:r>
      <w:r w:rsidR="00FE25D6">
        <w:rPr>
          <w:color w:val="FF0000"/>
          <w:w w:val="105"/>
          <w:sz w:val="15"/>
        </w:rPr>
        <w:t>—not a sentence - rephrase</w:t>
      </w:r>
    </w:p>
    <w:p w:rsidR="00341D13" w:rsidRDefault="00E71CD4" w:rsidP="00792286">
      <w:pPr>
        <w:spacing w:line="285" w:lineRule="auto"/>
        <w:ind w:left="130" w:right="150"/>
        <w:jc w:val="both"/>
        <w:rPr>
          <w:color w:val="231F20"/>
          <w:w w:val="105"/>
          <w:sz w:val="15"/>
          <w:lang w:val="id-ID"/>
        </w:rPr>
      </w:pPr>
      <w:r>
        <w:rPr>
          <w:b/>
          <w:color w:val="231F20"/>
          <w:w w:val="105"/>
          <w:sz w:val="15"/>
        </w:rPr>
        <w:t xml:space="preserve">Result </w:t>
      </w:r>
      <w:r>
        <w:rPr>
          <w:color w:val="231F20"/>
          <w:w w:val="105"/>
          <w:sz w:val="15"/>
        </w:rPr>
        <w:t xml:space="preserve">- </w:t>
      </w:r>
      <w:r w:rsidR="00341D13" w:rsidRPr="00341D13">
        <w:rPr>
          <w:color w:val="231F20"/>
          <w:w w:val="105"/>
          <w:sz w:val="15"/>
        </w:rPr>
        <w:t xml:space="preserve">Based on Location </w:t>
      </w:r>
      <w:r w:rsidR="00B44E57" w:rsidRPr="00B44E57">
        <w:rPr>
          <w:color w:val="231F20"/>
          <w:w w:val="105"/>
          <w:sz w:val="15"/>
        </w:rPr>
        <w:t xml:space="preserve">Quotient </w:t>
      </w:r>
      <w:r w:rsidR="00341D13" w:rsidRPr="00341D13">
        <w:rPr>
          <w:color w:val="231F20"/>
          <w:w w:val="105"/>
          <w:sz w:val="15"/>
        </w:rPr>
        <w:t>(LQ) Analysis in Malinau Regency there are six sectors</w:t>
      </w:r>
      <w:r w:rsidR="00FE25D6">
        <w:rPr>
          <w:color w:val="FF0000"/>
          <w:w w:val="105"/>
          <w:sz w:val="15"/>
        </w:rPr>
        <w:t>--??? Six section for what or that does what?</w:t>
      </w:r>
      <w:r w:rsidR="00341D13" w:rsidRPr="00341D13">
        <w:rPr>
          <w:color w:val="231F20"/>
          <w:w w:val="105"/>
          <w:sz w:val="15"/>
        </w:rPr>
        <w:t xml:space="preserve">: agriculture; electricity, gas and </w:t>
      </w:r>
      <w:r w:rsidR="001F1B43">
        <w:rPr>
          <w:color w:val="231F20"/>
          <w:w w:val="105"/>
          <w:sz w:val="15"/>
        </w:rPr>
        <w:t>clean</w:t>
      </w:r>
      <w:r w:rsidR="00341D13" w:rsidRPr="00341D13">
        <w:rPr>
          <w:color w:val="231F20"/>
          <w:w w:val="105"/>
          <w:sz w:val="15"/>
        </w:rPr>
        <w:t xml:space="preserve"> water; building and construction; trade, hotels and restaurants; </w:t>
      </w:r>
      <w:r w:rsidR="00341D13" w:rsidRPr="00FE25D6">
        <w:rPr>
          <w:color w:val="231F20"/>
          <w:w w:val="105"/>
          <w:sz w:val="15"/>
          <w:highlight w:val="yellow"/>
        </w:rPr>
        <w:t>also by the services as a leading sector</w:t>
      </w:r>
      <w:r w:rsidR="00FE25D6">
        <w:rPr>
          <w:color w:val="FF0000"/>
          <w:w w:val="105"/>
          <w:sz w:val="15"/>
        </w:rPr>
        <w:t>-- rephrase</w:t>
      </w:r>
      <w:r w:rsidR="00341D13" w:rsidRPr="00341D13">
        <w:rPr>
          <w:color w:val="231F20"/>
          <w:w w:val="105"/>
          <w:sz w:val="15"/>
        </w:rPr>
        <w:t xml:space="preserve">. The result of Shift Share Analysis (SSA) that has been classified has changed the economic structure of Malinau Regency from the secondary sector to the tertiary and primary sectors in 10 years. </w:t>
      </w:r>
      <w:r w:rsidR="00341D13" w:rsidRPr="00FE25D6">
        <w:rPr>
          <w:color w:val="231F20"/>
          <w:w w:val="105"/>
          <w:sz w:val="15"/>
          <w:highlight w:val="yellow"/>
        </w:rPr>
        <w:t xml:space="preserve">While, community export competitiveness of Malinau Regency through Revealed Comparative Advantage (RCA), see if the export products of coal and </w:t>
      </w:r>
      <w:r w:rsidR="009637D2" w:rsidRPr="00FE25D6">
        <w:rPr>
          <w:color w:val="231F20"/>
          <w:w w:val="105"/>
          <w:sz w:val="15"/>
          <w:highlight w:val="yellow"/>
        </w:rPr>
        <w:t>excavation</w:t>
      </w:r>
      <w:r w:rsidR="00F728A9" w:rsidRPr="00FE25D6">
        <w:rPr>
          <w:color w:val="231F20"/>
          <w:w w:val="105"/>
          <w:sz w:val="15"/>
          <w:highlight w:val="yellow"/>
        </w:rPr>
        <w:t xml:space="preserve"> (types A, B</w:t>
      </w:r>
      <w:r w:rsidR="00F728A9" w:rsidRPr="00FE25D6">
        <w:rPr>
          <w:color w:val="231F20"/>
          <w:w w:val="105"/>
          <w:sz w:val="15"/>
          <w:highlight w:val="yellow"/>
          <w:lang w:val="id-ID"/>
        </w:rPr>
        <w:t>,</w:t>
      </w:r>
      <w:r w:rsidR="00341D13" w:rsidRPr="00FE25D6">
        <w:rPr>
          <w:color w:val="231F20"/>
          <w:w w:val="105"/>
          <w:sz w:val="15"/>
          <w:highlight w:val="yellow"/>
        </w:rPr>
        <w:t xml:space="preserve"> C) are shown to have a higher comparative advantage with comparative advantage of the same commodity at the Provincial level North Kalimantan</w:t>
      </w:r>
      <w:r w:rsidR="00FE25D6">
        <w:rPr>
          <w:color w:val="FF0000"/>
          <w:w w:val="105"/>
          <w:sz w:val="15"/>
        </w:rPr>
        <w:t>-- rephrase</w:t>
      </w:r>
      <w:r w:rsidR="00341D13" w:rsidRPr="00341D13">
        <w:rPr>
          <w:color w:val="231F20"/>
          <w:w w:val="105"/>
          <w:sz w:val="15"/>
        </w:rPr>
        <w:t>.</w:t>
      </w:r>
    </w:p>
    <w:p w:rsidR="00313619" w:rsidRPr="00E54E77" w:rsidRDefault="00E71CD4" w:rsidP="00BB66BF">
      <w:pPr>
        <w:spacing w:line="285" w:lineRule="auto"/>
        <w:ind w:left="130" w:right="150"/>
        <w:jc w:val="both"/>
        <w:rPr>
          <w:color w:val="FF0000"/>
          <w:sz w:val="15"/>
        </w:rPr>
      </w:pPr>
      <w:r>
        <w:rPr>
          <w:b/>
          <w:color w:val="231F20"/>
          <w:w w:val="105"/>
          <w:sz w:val="15"/>
        </w:rPr>
        <w:t xml:space="preserve">Conclusions </w:t>
      </w:r>
      <w:r w:rsidR="00341D13">
        <w:rPr>
          <w:color w:val="231F20"/>
          <w:w w:val="105"/>
          <w:sz w:val="15"/>
        </w:rPr>
        <w:t xml:space="preserve">- </w:t>
      </w:r>
      <w:r w:rsidR="00341D13" w:rsidRPr="00341D13">
        <w:rPr>
          <w:color w:val="231F20"/>
          <w:w w:val="105"/>
          <w:sz w:val="15"/>
        </w:rPr>
        <w:t>Analysis of economic growth in Malinau Regency after regional autonomy shows that there has been a shift in the economic structure of the economy which is dominated by the structure of the primary sector.</w:t>
      </w:r>
      <w:r w:rsidR="00E54E77">
        <w:rPr>
          <w:color w:val="FF0000"/>
          <w:w w:val="105"/>
          <w:sz w:val="15"/>
        </w:rPr>
        <w:t>-- ??  rephrase</w:t>
      </w:r>
    </w:p>
    <w:p w:rsidR="00313619" w:rsidRDefault="00313619">
      <w:pPr>
        <w:pStyle w:val="BodyText"/>
        <w:spacing w:before="1"/>
        <w:rPr>
          <w:sz w:val="18"/>
        </w:rPr>
      </w:pPr>
    </w:p>
    <w:p w:rsidR="00313619" w:rsidRPr="00341D13" w:rsidRDefault="00E71CD4">
      <w:pPr>
        <w:spacing w:before="1"/>
        <w:ind w:left="130"/>
        <w:rPr>
          <w:sz w:val="15"/>
          <w:lang w:val="id-ID"/>
        </w:rPr>
      </w:pPr>
      <w:r>
        <w:rPr>
          <w:b/>
          <w:color w:val="231F20"/>
          <w:w w:val="105"/>
          <w:sz w:val="15"/>
        </w:rPr>
        <w:t>Keywords</w:t>
      </w:r>
      <w:r>
        <w:rPr>
          <w:color w:val="231F20"/>
          <w:w w:val="105"/>
          <w:sz w:val="15"/>
        </w:rPr>
        <w:t xml:space="preserve">: </w:t>
      </w:r>
      <w:r w:rsidR="00341D13" w:rsidRPr="00341D13">
        <w:rPr>
          <w:color w:val="231F20"/>
          <w:w w:val="105"/>
          <w:sz w:val="15"/>
        </w:rPr>
        <w:t>Leading Sector, Economic Structure Shift, E</w:t>
      </w:r>
      <w:r w:rsidR="00341D13">
        <w:rPr>
          <w:color w:val="231F20"/>
          <w:w w:val="105"/>
          <w:sz w:val="15"/>
        </w:rPr>
        <w:t>xport Commodity Competitiveness</w:t>
      </w:r>
      <w:r w:rsidR="00341D13">
        <w:rPr>
          <w:color w:val="231F20"/>
          <w:w w:val="105"/>
          <w:sz w:val="15"/>
          <w:lang w:val="id-ID"/>
        </w:rPr>
        <w:t>, LQ, SSA, RCA.</w:t>
      </w:r>
    </w:p>
    <w:p w:rsidR="00313619" w:rsidRDefault="00313619">
      <w:pPr>
        <w:pStyle w:val="BodyText"/>
        <w:spacing w:before="10"/>
        <w:rPr>
          <w:sz w:val="20"/>
        </w:rPr>
      </w:pPr>
    </w:p>
    <w:p w:rsidR="00313619" w:rsidRDefault="00E71CD4">
      <w:pPr>
        <w:ind w:left="130"/>
        <w:rPr>
          <w:sz w:val="15"/>
        </w:rPr>
      </w:pPr>
      <w:r>
        <w:rPr>
          <w:b/>
          <w:color w:val="231F20"/>
          <w:w w:val="105"/>
          <w:sz w:val="15"/>
        </w:rPr>
        <w:t>JEL Classification</w:t>
      </w:r>
      <w:r>
        <w:rPr>
          <w:color w:val="231F20"/>
          <w:w w:val="105"/>
          <w:sz w:val="15"/>
        </w:rPr>
        <w:t xml:space="preserve">: </w:t>
      </w:r>
    </w:p>
    <w:p w:rsidR="00313619" w:rsidRDefault="000052EA">
      <w:pPr>
        <w:pStyle w:val="BodyText"/>
        <w:spacing w:before="10"/>
        <w:rPr>
          <w:sz w:val="10"/>
        </w:rPr>
      </w:pPr>
      <w:r>
        <w:rPr>
          <w:noProof/>
          <w:lang w:eastAsia="ko-KR"/>
        </w:rPr>
        <mc:AlternateContent>
          <mc:Choice Requires="wps">
            <w:drawing>
              <wp:anchor distT="0" distB="0" distL="0" distR="0" simplePos="0" relativeHeight="487588352" behindDoc="1" locked="0" layoutInCell="1" allowOverlap="1" wp14:anchorId="5985072E" wp14:editId="5F716559">
                <wp:simplePos x="0" y="0"/>
                <wp:positionH relativeFrom="page">
                  <wp:posOffset>731520</wp:posOffset>
                </wp:positionH>
                <wp:positionV relativeFrom="paragraph">
                  <wp:posOffset>104140</wp:posOffset>
                </wp:positionV>
                <wp:extent cx="6300470" cy="6350"/>
                <wp:effectExtent l="0" t="0" r="0" b="0"/>
                <wp:wrapTopAndBottom/>
                <wp:docPr id="18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3ED19" id="Rectangle 176" o:spid="_x0000_s1026" style="position:absolute;margin-left:57.6pt;margin-top:8.2pt;width:496.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" fillcolor="#231f20" stroked="f">
                <w10:wrap type="topAndBottom" anchorx="page"/>
              </v:rect>
            </w:pict>
          </mc:Fallback>
        </mc:AlternateContent>
      </w:r>
    </w:p>
    <w:p w:rsidR="00313619" w:rsidRDefault="00313619">
      <w:pPr>
        <w:pStyle w:val="BodyText"/>
        <w:rPr>
          <w:sz w:val="20"/>
        </w:rPr>
      </w:pPr>
    </w:p>
    <w:p w:rsidR="001720FD" w:rsidRDefault="001720FD">
      <w:pPr>
        <w:rPr>
          <w:sz w:val="20"/>
          <w:szCs w:val="17"/>
          <w:lang w:val="id-ID"/>
        </w:rPr>
      </w:pPr>
    </w:p>
    <w:p w:rsidR="007F6AA8" w:rsidRPr="00341D13" w:rsidRDefault="007F6AA8">
      <w:pPr>
        <w:rPr>
          <w:sz w:val="28"/>
          <w:lang w:val="id-ID"/>
        </w:rPr>
        <w:sectPr w:rsidR="007F6AA8" w:rsidRPr="00341D13">
          <w:headerReference w:type="even" r:id="rId7"/>
          <w:headerReference w:type="default" r:id="rId8"/>
          <w:type w:val="continuous"/>
          <w:pgSz w:w="12240" w:h="15840"/>
          <w:pgMar w:top="1760" w:right="1000" w:bottom="280" w:left="1140" w:header="1567" w:footer="720" w:gutter="0"/>
          <w:pgNumType w:start="5"/>
          <w:cols w:space="720"/>
        </w:sectPr>
      </w:pPr>
    </w:p>
    <w:p w:rsidR="007F6AA8" w:rsidRPr="007F6AA8" w:rsidRDefault="00E71CD4" w:rsidP="007F6AA8">
      <w:pPr>
        <w:pStyle w:val="Heading1"/>
        <w:numPr>
          <w:ilvl w:val="0"/>
          <w:numId w:val="5"/>
        </w:numPr>
        <w:tabs>
          <w:tab w:val="left" w:pos="393"/>
        </w:tabs>
        <w:spacing w:before="98"/>
        <w:ind w:hanging="263"/>
      </w:pPr>
      <w:r>
        <w:rPr>
          <w:color w:val="231F20"/>
        </w:rPr>
        <w:t>Introduction</w:t>
      </w:r>
    </w:p>
    <w:p w:rsidR="00E0587D" w:rsidRPr="00E0587D" w:rsidRDefault="007F6AA8" w:rsidP="00E0587D">
      <w:pPr>
        <w:pStyle w:val="BodyText"/>
        <w:spacing w:before="186" w:line="283" w:lineRule="auto"/>
        <w:ind w:left="130" w:right="38" w:firstLine="170"/>
        <w:jc w:val="both"/>
        <w:rPr>
          <w:color w:val="231F20"/>
          <w:w w:val="105"/>
          <w:lang w:val="id-ID"/>
        </w:rPr>
      </w:pPr>
      <w:r>
        <w:rPr>
          <w:color w:val="231F20"/>
          <w:w w:val="105"/>
        </w:rPr>
        <w:t>Clearly, the economic analysis of regional growth and its  distribution already has a long history and  dates back to classical economists</w:t>
      </w:r>
      <w:r w:rsidRPr="00C23B16">
        <w:rPr>
          <w:color w:val="231F20"/>
          <w:w w:val="105"/>
        </w:rPr>
        <w:t xml:space="preserve"> such</w:t>
      </w:r>
      <w:r>
        <w:rPr>
          <w:color w:val="231F20"/>
          <w:w w:val="105"/>
        </w:rPr>
        <w:t xml:space="preserve"> as </w:t>
      </w:r>
      <w:r w:rsidRPr="00913795">
        <w:rPr>
          <w:color w:val="231F20"/>
          <w:w w:val="105"/>
          <w:highlight w:val="yellow"/>
        </w:rPr>
        <w:t>Smith and  Marshall</w:t>
      </w:r>
      <w:r w:rsidR="00913795">
        <w:rPr>
          <w:color w:val="FF0000"/>
          <w:w w:val="105"/>
        </w:rPr>
        <w:t>—would be better to include first names</w:t>
      </w:r>
      <w:r w:rsidRPr="00C23B16">
        <w:rPr>
          <w:color w:val="231F20"/>
          <w:w w:val="105"/>
        </w:rPr>
        <w:t>. From an analytical perspective, the foundations of modern economic growth theory can be fou</w:t>
      </w:r>
      <w:r>
        <w:rPr>
          <w:color w:val="231F20"/>
          <w:w w:val="105"/>
        </w:rPr>
        <w:t xml:space="preserve">nd in the early work of Solow </w:t>
      </w:r>
      <w:r>
        <w:rPr>
          <w:color w:val="231F20"/>
          <w:w w:val="105"/>
          <w:lang w:val="id-ID"/>
        </w:rPr>
        <w:t>(1</w:t>
      </w:r>
      <w:r w:rsidRPr="00C23B16">
        <w:rPr>
          <w:color w:val="231F20"/>
          <w:w w:val="105"/>
        </w:rPr>
        <w:t>956), in which he argues that</w:t>
      </w:r>
      <w:r w:rsidRPr="00913795">
        <w:rPr>
          <w:strike/>
          <w:color w:val="FF0000"/>
          <w:w w:val="105"/>
        </w:rPr>
        <w:t xml:space="preserve">, </w:t>
      </w:r>
      <w:r w:rsidRPr="00C23B16">
        <w:rPr>
          <w:color w:val="231F20"/>
          <w:w w:val="105"/>
        </w:rPr>
        <w:t>in a neoclassical economic world, the growth rate of a region (measured in per capita income) is inversely related to its initial pe</w:t>
      </w:r>
      <w:r>
        <w:rPr>
          <w:color w:val="231F20"/>
          <w:w w:val="105"/>
        </w:rPr>
        <w:t>r capita income, a thesis which offers an optimistic  perspective</w:t>
      </w:r>
      <w:r w:rsidRPr="00C23B16">
        <w:rPr>
          <w:color w:val="231F20"/>
          <w:w w:val="105"/>
        </w:rPr>
        <w:t xml:space="preserve"> f</w:t>
      </w:r>
      <w:r>
        <w:rPr>
          <w:color w:val="231F20"/>
          <w:w w:val="105"/>
        </w:rPr>
        <w:t xml:space="preserve">or poor </w:t>
      </w:r>
      <w:r w:rsidRPr="00C23B16">
        <w:rPr>
          <w:color w:val="231F20"/>
          <w:w w:val="105"/>
        </w:rPr>
        <w:t>re</w:t>
      </w:r>
      <w:r>
        <w:rPr>
          <w:color w:val="231F20"/>
          <w:w w:val="105"/>
        </w:rPr>
        <w:t>gions. Interesting</w:t>
      </w:r>
      <w:r w:rsidRPr="00C23B16">
        <w:rPr>
          <w:color w:val="231F20"/>
          <w:w w:val="105"/>
        </w:rPr>
        <w:t xml:space="preserve"> regi</w:t>
      </w:r>
      <w:r>
        <w:rPr>
          <w:color w:val="231F20"/>
          <w:w w:val="105"/>
        </w:rPr>
        <w:t>onal growth models have been extensively</w:t>
      </w:r>
      <w:r>
        <w:rPr>
          <w:color w:val="231F20"/>
          <w:w w:val="105"/>
          <w:lang w:val="id-ID"/>
        </w:rPr>
        <w:t xml:space="preserve"> </w:t>
      </w:r>
      <w:r>
        <w:rPr>
          <w:color w:val="231F20"/>
          <w:w w:val="105"/>
        </w:rPr>
        <w:t>developed in the 1960s,</w:t>
      </w:r>
      <w:r w:rsidR="00913795">
        <w:rPr>
          <w:color w:val="231F20"/>
          <w:w w:val="105"/>
        </w:rPr>
        <w:t xml:space="preserve"> </w:t>
      </w:r>
      <w:r w:rsidRPr="00C23B16">
        <w:rPr>
          <w:color w:val="231F20"/>
          <w:w w:val="105"/>
        </w:rPr>
        <w:t xml:space="preserve">in </w:t>
      </w:r>
      <w:r>
        <w:rPr>
          <w:color w:val="231F20"/>
          <w:w w:val="105"/>
        </w:rPr>
        <w:t>particular</w:t>
      </w:r>
      <w:r w:rsidR="00913795">
        <w:rPr>
          <w:color w:val="FF0000"/>
          <w:w w:val="105"/>
        </w:rPr>
        <w:t>,</w:t>
      </w:r>
      <w:r>
        <w:rPr>
          <w:color w:val="231F20"/>
          <w:w w:val="105"/>
        </w:rPr>
        <w:t xml:space="preserve"> in a</w:t>
      </w:r>
      <w:r w:rsidRPr="00C23B16">
        <w:rPr>
          <w:color w:val="231F20"/>
          <w:w w:val="105"/>
        </w:rPr>
        <w:t xml:space="preserve"> n</w:t>
      </w:r>
      <w:r>
        <w:rPr>
          <w:color w:val="231F20"/>
          <w:w w:val="105"/>
        </w:rPr>
        <w:t>eoclassical framework (Borts,</w:t>
      </w:r>
      <w:r w:rsidRPr="00C23B16">
        <w:rPr>
          <w:color w:val="231F20"/>
          <w:w w:val="105"/>
        </w:rPr>
        <w:t xml:space="preserve"> 1960;</w:t>
      </w:r>
      <w:r w:rsidRPr="00C23B16">
        <w:t xml:space="preserve"> </w:t>
      </w:r>
      <w:r>
        <w:rPr>
          <w:color w:val="231F20"/>
          <w:w w:val="105"/>
        </w:rPr>
        <w:t>Borts and Stein, 1964</w:t>
      </w:r>
      <w:r w:rsidR="00BE4172">
        <w:rPr>
          <w:color w:val="231F20"/>
          <w:w w:val="105"/>
          <w:lang w:val="id-ID"/>
        </w:rPr>
        <w:t>,</w:t>
      </w:r>
      <w:r>
        <w:rPr>
          <w:color w:val="231F20"/>
          <w:w w:val="105"/>
          <w:lang w:val="id-ID"/>
        </w:rPr>
        <w:t xml:space="preserve"> </w:t>
      </w:r>
      <w:r w:rsidRPr="00C23B16">
        <w:rPr>
          <w:color w:val="231F20"/>
          <w:w w:val="105"/>
        </w:rPr>
        <w:t xml:space="preserve">1968). </w:t>
      </w:r>
    </w:p>
    <w:p w:rsidR="00313619" w:rsidRPr="001720FD" w:rsidRDefault="000052EA">
      <w:pPr>
        <w:pStyle w:val="BodyText"/>
        <w:spacing w:before="10"/>
        <w:rPr>
          <w:sz w:val="11"/>
          <w:lang w:val="id-ID"/>
        </w:rPr>
      </w:pPr>
      <w:r>
        <w:rPr>
          <w:noProof/>
          <w:lang w:eastAsia="ko-KR"/>
        </w:rPr>
        <mc:AlternateContent>
          <mc:Choice Requires="wps">
            <w:drawing>
              <wp:anchor distT="0" distB="0" distL="0" distR="0" simplePos="0" relativeHeight="487588864" behindDoc="1" locked="0" layoutInCell="1" allowOverlap="1" wp14:anchorId="1C49E7EB" wp14:editId="5A52DB04">
                <wp:simplePos x="0" y="0"/>
                <wp:positionH relativeFrom="page">
                  <wp:posOffset>807085</wp:posOffset>
                </wp:positionH>
                <wp:positionV relativeFrom="paragraph">
                  <wp:posOffset>111760</wp:posOffset>
                </wp:positionV>
                <wp:extent cx="1778635" cy="6350"/>
                <wp:effectExtent l="0" t="0" r="0" b="0"/>
                <wp:wrapTopAndBottom/>
                <wp:docPr id="1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F963F5" id="Rectangle 174" o:spid="_x0000_s1026" style="position:absolute;margin-left:63.55pt;margin-top:8.8pt;width:140.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" fillcolor="#231f20" stroked="f">
                <w10:wrap type="topAndBottom" anchorx="page"/>
              </v:rect>
            </w:pict>
          </mc:Fallback>
        </mc:AlternateContent>
      </w:r>
    </w:p>
    <w:p w:rsidR="007F6AA8" w:rsidRPr="00E0587D" w:rsidRDefault="00E71CD4" w:rsidP="00E0587D">
      <w:pPr>
        <w:spacing w:before="43" w:line="240" w:lineRule="atLeast"/>
        <w:ind w:left="130" w:right="314"/>
        <w:jc w:val="both"/>
        <w:rPr>
          <w:color w:val="231F20"/>
          <w:w w:val="105"/>
          <w:sz w:val="15"/>
          <w:lang w:val="id-ID"/>
        </w:rPr>
      </w:pPr>
      <w:r>
        <w:rPr>
          <w:color w:val="231F20"/>
          <w:w w:val="105"/>
          <w:sz w:val="15"/>
        </w:rPr>
        <w:t>1</w:t>
      </w:r>
      <w:r>
        <w:rPr>
          <w:color w:val="231F20"/>
          <w:spacing w:val="-9"/>
          <w:w w:val="105"/>
          <w:sz w:val="15"/>
        </w:rPr>
        <w:t xml:space="preserve"> </w:t>
      </w:r>
      <w:r>
        <w:rPr>
          <w:color w:val="231F20"/>
          <w:w w:val="105"/>
          <w:sz w:val="15"/>
        </w:rPr>
        <w:t>First</w:t>
      </w:r>
      <w:r>
        <w:rPr>
          <w:color w:val="231F20"/>
          <w:spacing w:val="-9"/>
          <w:w w:val="105"/>
          <w:sz w:val="15"/>
        </w:rPr>
        <w:t xml:space="preserve"> </w:t>
      </w:r>
      <w:r>
        <w:rPr>
          <w:color w:val="231F20"/>
          <w:w w:val="105"/>
          <w:sz w:val="15"/>
        </w:rPr>
        <w:t>Author,</w:t>
      </w:r>
      <w:r>
        <w:rPr>
          <w:color w:val="231F20"/>
          <w:spacing w:val="-8"/>
          <w:w w:val="105"/>
          <w:sz w:val="15"/>
        </w:rPr>
        <w:t xml:space="preserve"> </w:t>
      </w:r>
      <w:r w:rsidR="00E0587D">
        <w:rPr>
          <w:color w:val="231F20"/>
          <w:spacing w:val="-8"/>
          <w:w w:val="105"/>
          <w:sz w:val="15"/>
          <w:lang w:val="id-ID"/>
        </w:rPr>
        <w:t>Mulawarman of University, Samarinda, Indonesia</w:t>
      </w:r>
    </w:p>
    <w:p w:rsidR="00313619" w:rsidRDefault="00E71CD4" w:rsidP="00E0587D">
      <w:pPr>
        <w:tabs>
          <w:tab w:val="left" w:pos="4253"/>
        </w:tabs>
        <w:spacing w:before="43" w:line="240" w:lineRule="atLeast"/>
        <w:ind w:left="130" w:right="314"/>
        <w:jc w:val="both"/>
        <w:rPr>
          <w:sz w:val="15"/>
        </w:rPr>
      </w:pPr>
      <w:r>
        <w:rPr>
          <w:color w:val="231F20"/>
          <w:w w:val="105"/>
          <w:sz w:val="15"/>
        </w:rPr>
        <w:t>2</w:t>
      </w:r>
      <w:r>
        <w:rPr>
          <w:color w:val="231F20"/>
          <w:spacing w:val="-11"/>
          <w:w w:val="105"/>
          <w:sz w:val="15"/>
        </w:rPr>
        <w:t xml:space="preserve"> </w:t>
      </w:r>
      <w:r>
        <w:rPr>
          <w:color w:val="231F20"/>
          <w:w w:val="105"/>
          <w:sz w:val="15"/>
        </w:rPr>
        <w:t>Corresponding</w:t>
      </w:r>
      <w:r>
        <w:rPr>
          <w:color w:val="231F20"/>
          <w:spacing w:val="-9"/>
          <w:w w:val="105"/>
          <w:sz w:val="15"/>
        </w:rPr>
        <w:t xml:space="preserve"> </w:t>
      </w:r>
      <w:r>
        <w:rPr>
          <w:color w:val="231F20"/>
          <w:w w:val="105"/>
          <w:sz w:val="15"/>
        </w:rPr>
        <w:t>Author,</w:t>
      </w:r>
      <w:r>
        <w:rPr>
          <w:color w:val="231F20"/>
          <w:spacing w:val="-10"/>
          <w:w w:val="105"/>
          <w:sz w:val="15"/>
        </w:rPr>
        <w:t xml:space="preserve"> </w:t>
      </w:r>
      <w:r w:rsidR="00E0587D" w:rsidRPr="00E0587D">
        <w:rPr>
          <w:color w:val="231F20"/>
          <w:spacing w:val="-10"/>
          <w:w w:val="105"/>
          <w:sz w:val="15"/>
        </w:rPr>
        <w:t>Samarinda High College of Economics</w:t>
      </w:r>
      <w:r w:rsidR="00E67DAC">
        <w:rPr>
          <w:color w:val="231F20"/>
          <w:spacing w:val="-10"/>
          <w:w w:val="105"/>
          <w:sz w:val="15"/>
          <w:lang w:val="id-ID"/>
        </w:rPr>
        <w:t>,</w:t>
      </w:r>
      <w:r w:rsidR="00E0587D" w:rsidRPr="00E0587D">
        <w:rPr>
          <w:color w:val="231F20"/>
          <w:spacing w:val="-10"/>
          <w:w w:val="105"/>
          <w:sz w:val="15"/>
        </w:rPr>
        <w:t xml:space="preserve"> </w:t>
      </w:r>
    </w:p>
    <w:p w:rsidR="00E0587D" w:rsidRDefault="00E0587D">
      <w:pPr>
        <w:spacing w:before="39"/>
        <w:ind w:left="268"/>
        <w:rPr>
          <w:color w:val="231F20"/>
          <w:w w:val="105"/>
          <w:sz w:val="15"/>
          <w:lang w:val="id-ID"/>
        </w:rPr>
      </w:pPr>
      <w:r>
        <w:rPr>
          <w:color w:val="231F20"/>
          <w:w w:val="105"/>
          <w:sz w:val="15"/>
          <w:lang w:val="id-ID"/>
        </w:rPr>
        <w:t xml:space="preserve">Samarinda, </w:t>
      </w:r>
      <w:r w:rsidR="00A43F8B">
        <w:rPr>
          <w:color w:val="231F20"/>
          <w:w w:val="105"/>
          <w:sz w:val="15"/>
        </w:rPr>
        <w:t>Indonesia. Tel</w:t>
      </w:r>
      <w:r w:rsidR="00A43F8B">
        <w:rPr>
          <w:color w:val="231F20"/>
          <w:w w:val="105"/>
          <w:sz w:val="15"/>
          <w:lang w:val="id-ID"/>
        </w:rPr>
        <w:t xml:space="preserve">: </w:t>
      </w:r>
      <w:r w:rsidR="00E71CD4">
        <w:rPr>
          <w:color w:val="231F20"/>
          <w:w w:val="105"/>
          <w:sz w:val="15"/>
        </w:rPr>
        <w:t>+62</w:t>
      </w:r>
      <w:r>
        <w:rPr>
          <w:color w:val="231F20"/>
          <w:w w:val="105"/>
          <w:sz w:val="15"/>
          <w:lang w:val="id-ID"/>
        </w:rPr>
        <w:t>85247160010</w:t>
      </w:r>
      <w:r w:rsidR="00A43F8B">
        <w:rPr>
          <w:color w:val="231F20"/>
          <w:w w:val="105"/>
          <w:sz w:val="15"/>
          <w:lang w:val="id-ID"/>
        </w:rPr>
        <w:t>.</w:t>
      </w:r>
      <w:r w:rsidR="00E71CD4">
        <w:rPr>
          <w:color w:val="231F20"/>
          <w:w w:val="105"/>
          <w:sz w:val="15"/>
        </w:rPr>
        <w:t xml:space="preserve"> </w:t>
      </w:r>
    </w:p>
    <w:p w:rsidR="00313619" w:rsidRDefault="00E71CD4">
      <w:pPr>
        <w:spacing w:before="39"/>
        <w:ind w:left="268"/>
        <w:rPr>
          <w:sz w:val="15"/>
        </w:rPr>
      </w:pPr>
      <w:r>
        <w:rPr>
          <w:color w:val="231F20"/>
          <w:w w:val="105"/>
          <w:sz w:val="15"/>
        </w:rPr>
        <w:t xml:space="preserve">Email: </w:t>
      </w:r>
      <w:r w:rsidR="00E0587D" w:rsidRPr="00E0587D">
        <w:rPr>
          <w:color w:val="231F20"/>
          <w:w w:val="105"/>
          <w:sz w:val="15"/>
        </w:rPr>
        <w:t>diocaisar09@gmail.com</w:t>
      </w:r>
    </w:p>
    <w:p w:rsidR="00313619" w:rsidRDefault="00E71CD4">
      <w:pPr>
        <w:spacing w:before="65"/>
        <w:ind w:left="130"/>
        <w:jc w:val="both"/>
        <w:rPr>
          <w:sz w:val="9"/>
        </w:rPr>
      </w:pPr>
      <w:r>
        <w:rPr>
          <w:color w:val="231F20"/>
          <w:w w:val="110"/>
          <w:sz w:val="9"/>
        </w:rPr>
        <w:t>© Copyright: Korean Distribution Science Association (KODISA)</w:t>
      </w:r>
    </w:p>
    <w:p w:rsidR="00C23B16" w:rsidRPr="006A55AC" w:rsidRDefault="00E71CD4" w:rsidP="006A55AC">
      <w:pPr>
        <w:spacing w:before="6" w:line="297" w:lineRule="auto"/>
        <w:ind w:left="130" w:right="39"/>
        <w:jc w:val="both"/>
        <w:rPr>
          <w:sz w:val="9"/>
          <w:lang w:val="id-ID"/>
        </w:rPr>
      </w:pPr>
      <w:r>
        <w:rPr>
          <w:color w:val="231F20"/>
          <w:w w:val="110"/>
          <w:sz w:val="9"/>
        </w:rPr>
        <w:t>This is an Open Access article distributed under the terms of the Creative Commons Attribution Non- Commercial License (https://creativecommons.org/licenses/by-nc/4.0/) which permits unrestricted non- commercial use, distribution, and reproduction in any medium, provided the original work is properly cited.</w:t>
      </w:r>
    </w:p>
    <w:p w:rsidR="007F6AA8" w:rsidRDefault="007F6AA8" w:rsidP="001720FD">
      <w:pPr>
        <w:pStyle w:val="BodyText"/>
        <w:spacing w:before="186" w:line="283" w:lineRule="auto"/>
        <w:ind w:left="130" w:right="38" w:firstLine="170"/>
        <w:jc w:val="both"/>
        <w:rPr>
          <w:color w:val="231F20"/>
          <w:w w:val="105"/>
          <w:lang w:val="id-ID"/>
        </w:rPr>
      </w:pPr>
    </w:p>
    <w:p w:rsidR="00E0587D" w:rsidRDefault="00E0587D" w:rsidP="00E0587D">
      <w:pPr>
        <w:pStyle w:val="BodyText"/>
        <w:spacing w:line="283" w:lineRule="auto"/>
        <w:ind w:left="130" w:right="40" w:firstLine="170"/>
        <w:jc w:val="both"/>
        <w:rPr>
          <w:color w:val="231F20"/>
          <w:w w:val="105"/>
          <w:lang w:val="id-ID"/>
        </w:rPr>
      </w:pPr>
    </w:p>
    <w:p w:rsidR="00E0587D" w:rsidRDefault="00E0587D" w:rsidP="00E0587D">
      <w:pPr>
        <w:pStyle w:val="BodyText"/>
        <w:spacing w:line="283" w:lineRule="auto"/>
        <w:ind w:left="130" w:right="40" w:firstLine="170"/>
        <w:jc w:val="both"/>
        <w:rPr>
          <w:color w:val="231F20"/>
          <w:w w:val="105"/>
          <w:lang w:val="id-ID"/>
        </w:rPr>
      </w:pPr>
    </w:p>
    <w:p w:rsidR="00E0587D" w:rsidRDefault="00E0587D" w:rsidP="00E0587D">
      <w:pPr>
        <w:pStyle w:val="BodyText"/>
        <w:spacing w:line="283" w:lineRule="auto"/>
        <w:ind w:left="130" w:right="40" w:firstLine="170"/>
        <w:jc w:val="both"/>
        <w:rPr>
          <w:color w:val="231F20"/>
          <w:w w:val="105"/>
          <w:lang w:val="id-ID"/>
        </w:rPr>
      </w:pPr>
    </w:p>
    <w:p w:rsidR="007F6AA8" w:rsidRPr="005C0249" w:rsidRDefault="007F6AA8" w:rsidP="005C0249">
      <w:pPr>
        <w:pStyle w:val="BodyText"/>
        <w:spacing w:line="283" w:lineRule="auto"/>
        <w:ind w:left="130" w:right="40" w:firstLine="170"/>
        <w:jc w:val="both"/>
        <w:rPr>
          <w:color w:val="231F20"/>
          <w:w w:val="105"/>
          <w:lang w:val="id-ID"/>
        </w:rPr>
      </w:pPr>
      <w:r w:rsidRPr="00C23B16">
        <w:rPr>
          <w:color w:val="231F20"/>
          <w:w w:val="105"/>
          <w:lang w:val="id-ID"/>
        </w:rPr>
        <w:t xml:space="preserve">The spatial-economic convergence idea has </w:t>
      </w:r>
      <w:r>
        <w:rPr>
          <w:color w:val="231F20"/>
          <w:w w:val="105"/>
          <w:lang w:val="id-ID"/>
        </w:rPr>
        <w:t>attracted considerable attention over the  years  and has generated interesting</w:t>
      </w:r>
      <w:r w:rsidRPr="00C23B16">
        <w:rPr>
          <w:color w:val="231F20"/>
          <w:w w:val="105"/>
          <w:lang w:val="id-ID"/>
        </w:rPr>
        <w:t xml:space="preserve"> a</w:t>
      </w:r>
      <w:r>
        <w:rPr>
          <w:color w:val="231F20"/>
          <w:w w:val="105"/>
          <w:lang w:val="id-ID"/>
        </w:rPr>
        <w:t>pplied research on  evolving convergence vers</w:t>
      </w:r>
      <w:r w:rsidR="005C0249">
        <w:rPr>
          <w:color w:val="231F20"/>
          <w:w w:val="105"/>
          <w:lang w:val="id-ID"/>
        </w:rPr>
        <w:t>us persistent disparities (see, e.g., Barro and</w:t>
      </w:r>
      <w:r>
        <w:rPr>
          <w:color w:val="231F20"/>
          <w:w w:val="105"/>
          <w:lang w:val="id-ID"/>
        </w:rPr>
        <w:t xml:space="preserve"> Sala-i-Martin, 1992).</w:t>
      </w:r>
    </w:p>
    <w:p w:rsidR="005A71D3" w:rsidRDefault="007F6AA8" w:rsidP="00403996">
      <w:pPr>
        <w:pStyle w:val="BodyText"/>
        <w:spacing w:line="283" w:lineRule="auto"/>
        <w:ind w:left="130" w:right="40" w:firstLine="170"/>
        <w:jc w:val="both"/>
        <w:rPr>
          <w:color w:val="231F20"/>
          <w:w w:val="105"/>
          <w:lang w:val="id-ID"/>
        </w:rPr>
      </w:pPr>
      <w:r w:rsidRPr="007F6AA8">
        <w:rPr>
          <w:color w:val="231F20"/>
          <w:w w:val="105"/>
          <w:lang w:val="id-ID"/>
        </w:rPr>
        <w:t>Exports provide an interface into how globally competitive a country is. Likewise, a robust export base secures a  country against deteriorat</w:t>
      </w:r>
      <w:r w:rsidR="00E0587D">
        <w:rPr>
          <w:color w:val="231F20"/>
          <w:w w:val="105"/>
          <w:lang w:val="id-ID"/>
        </w:rPr>
        <w:t>ing current account balance. In</w:t>
      </w:r>
      <w:r w:rsidRPr="007F6AA8">
        <w:rPr>
          <w:color w:val="231F20"/>
          <w:w w:val="105"/>
          <w:lang w:val="id-ID"/>
        </w:rPr>
        <w:t xml:space="preserve"> general, exports facilitate t</w:t>
      </w:r>
      <w:r w:rsidR="00E0587D">
        <w:rPr>
          <w:color w:val="231F20"/>
          <w:w w:val="105"/>
          <w:lang w:val="id-ID"/>
        </w:rPr>
        <w:t>he exploitation of economies of</w:t>
      </w:r>
      <w:r w:rsidRPr="007F6AA8">
        <w:rPr>
          <w:color w:val="231F20"/>
          <w:w w:val="105"/>
          <w:lang w:val="id-ID"/>
        </w:rPr>
        <w:t xml:space="preserve"> scale, allow resource allocation according to comparative advantage, improve foreign exchange reserves position </w:t>
      </w:r>
      <w:r w:rsidRPr="005A69EF">
        <w:rPr>
          <w:strike/>
          <w:color w:val="FF0000"/>
          <w:w w:val="105"/>
          <w:lang w:val="id-ID"/>
        </w:rPr>
        <w:t>and guarantee</w:t>
      </w:r>
      <w:r w:rsidRPr="005A69EF">
        <w:rPr>
          <w:color w:val="FF0000"/>
          <w:w w:val="105"/>
          <w:lang w:val="id-ID"/>
        </w:rPr>
        <w:t xml:space="preserve"> </w:t>
      </w:r>
      <w:r w:rsidR="005A69EF">
        <w:rPr>
          <w:color w:val="FF0000"/>
          <w:w w:val="105"/>
        </w:rPr>
        <w:lastRenderedPageBreak/>
        <w:t xml:space="preserve">guaranteeing </w:t>
      </w:r>
      <w:r w:rsidRPr="007F6AA8">
        <w:rPr>
          <w:color w:val="231F20"/>
          <w:w w:val="105"/>
          <w:lang w:val="id-ID"/>
        </w:rPr>
        <w:t>easy financing of imports, increase efficiency and productivity through competition,</w:t>
      </w:r>
      <w:r w:rsidR="001A27E5">
        <w:rPr>
          <w:color w:val="FF0000"/>
          <w:w w:val="105"/>
        </w:rPr>
        <w:t xml:space="preserve"> </w:t>
      </w:r>
      <w:r w:rsidRPr="007F6AA8">
        <w:rPr>
          <w:color w:val="231F20"/>
          <w:w w:val="105"/>
          <w:lang w:val="id-ID"/>
        </w:rPr>
        <w:t>increase employment</w:t>
      </w:r>
      <w:r w:rsidR="005A69EF">
        <w:rPr>
          <w:color w:val="FF0000"/>
          <w:w w:val="105"/>
        </w:rPr>
        <w:t>,</w:t>
      </w:r>
      <w:r w:rsidRPr="007F6AA8">
        <w:rPr>
          <w:color w:val="231F20"/>
          <w:w w:val="105"/>
          <w:lang w:val="id-ID"/>
        </w:rPr>
        <w:t xml:space="preserve"> and allow for knowledge spill-overs that will encourage domes</w:t>
      </w:r>
      <w:r w:rsidR="00E0587D">
        <w:rPr>
          <w:color w:val="231F20"/>
          <w:w w:val="105"/>
          <w:lang w:val="id-ID"/>
        </w:rPr>
        <w:t>tic innovation. There is strong</w:t>
      </w:r>
      <w:r w:rsidRPr="007F6AA8">
        <w:rPr>
          <w:color w:val="231F20"/>
          <w:w w:val="105"/>
          <w:lang w:val="id-ID"/>
        </w:rPr>
        <w:t xml:space="preserve"> evidence in the literature </w:t>
      </w:r>
      <w:r w:rsidRPr="005A69EF">
        <w:rPr>
          <w:strike/>
          <w:color w:val="FF0000"/>
          <w:w w:val="105"/>
          <w:lang w:val="id-ID"/>
        </w:rPr>
        <w:t>fa</w:t>
      </w:r>
      <w:r w:rsidR="00E0587D" w:rsidRPr="005A69EF">
        <w:rPr>
          <w:strike/>
          <w:color w:val="FF0000"/>
          <w:w w:val="105"/>
          <w:lang w:val="id-ID"/>
        </w:rPr>
        <w:t>vouring</w:t>
      </w:r>
      <w:r w:rsidR="00E0587D">
        <w:rPr>
          <w:color w:val="231F20"/>
          <w:w w:val="105"/>
          <w:lang w:val="id-ID"/>
        </w:rPr>
        <w:t xml:space="preserve"> </w:t>
      </w:r>
      <w:r w:rsidR="005A69EF">
        <w:rPr>
          <w:color w:val="FF0000"/>
          <w:w w:val="105"/>
        </w:rPr>
        <w:t xml:space="preserve">favoring </w:t>
      </w:r>
      <w:r w:rsidR="00E0587D">
        <w:rPr>
          <w:color w:val="231F20"/>
          <w:w w:val="105"/>
          <w:lang w:val="id-ID"/>
        </w:rPr>
        <w:t>exports as an important</w:t>
      </w:r>
      <w:r w:rsidRPr="007F6AA8">
        <w:rPr>
          <w:color w:val="231F20"/>
          <w:w w:val="105"/>
          <w:lang w:val="id-ID"/>
        </w:rPr>
        <w:t xml:space="preserve"> driver of sustainable ec</w:t>
      </w:r>
      <w:r w:rsidR="00E0587D">
        <w:rPr>
          <w:color w:val="231F20"/>
          <w:w w:val="105"/>
          <w:lang w:val="id-ID"/>
        </w:rPr>
        <w:t>onomic growth (Weiss, 2005). It</w:t>
      </w:r>
      <w:r w:rsidRPr="007F6AA8">
        <w:rPr>
          <w:color w:val="231F20"/>
          <w:w w:val="105"/>
          <w:lang w:val="id-ID"/>
        </w:rPr>
        <w:t xml:space="preserve"> has also been proven in the case o</w:t>
      </w:r>
      <w:r w:rsidR="00403996">
        <w:rPr>
          <w:color w:val="231F20"/>
          <w:w w:val="105"/>
          <w:lang w:val="id-ID"/>
        </w:rPr>
        <w:t>f South</w:t>
      </w:r>
      <w:r w:rsidR="00E0587D">
        <w:rPr>
          <w:color w:val="231F20"/>
          <w:w w:val="105"/>
          <w:lang w:val="id-ID"/>
        </w:rPr>
        <w:t xml:space="preserve"> Asian economies in</w:t>
      </w:r>
      <w:r w:rsidR="00403996">
        <w:rPr>
          <w:color w:val="231F20"/>
          <w:w w:val="105"/>
          <w:lang w:val="id-ID"/>
        </w:rPr>
        <w:t xml:space="preserve"> general </w:t>
      </w:r>
      <w:r w:rsidRPr="007F6AA8">
        <w:rPr>
          <w:color w:val="231F20"/>
          <w:w w:val="105"/>
          <w:lang w:val="id-ID"/>
        </w:rPr>
        <w:t xml:space="preserve">and </w:t>
      </w:r>
      <w:r w:rsidR="00403996">
        <w:rPr>
          <w:color w:val="231F20"/>
          <w:w w:val="105"/>
          <w:lang w:val="id-ID"/>
        </w:rPr>
        <w:t xml:space="preserve">Pakistan in  particular </w:t>
      </w:r>
      <w:r w:rsidR="00403996" w:rsidRPr="00403996">
        <w:rPr>
          <w:color w:val="231F20"/>
          <w:w w:val="105"/>
          <w:lang w:val="id-ID"/>
        </w:rPr>
        <w:t>(Kemal et al., 2002)</w:t>
      </w:r>
      <w:r w:rsidR="00403996">
        <w:rPr>
          <w:color w:val="231F20"/>
          <w:w w:val="105"/>
          <w:lang w:val="id-ID"/>
        </w:rPr>
        <w:t>.</w:t>
      </w:r>
    </w:p>
    <w:p w:rsidR="00403996" w:rsidRPr="001720FD" w:rsidRDefault="00403996" w:rsidP="00403996">
      <w:pPr>
        <w:pStyle w:val="BodyText"/>
        <w:spacing w:line="283" w:lineRule="auto"/>
        <w:ind w:left="130" w:right="40" w:firstLine="170"/>
        <w:jc w:val="both"/>
        <w:rPr>
          <w:color w:val="231F20"/>
          <w:w w:val="105"/>
          <w:lang w:val="id-ID"/>
        </w:rPr>
        <w:sectPr w:rsidR="00403996" w:rsidRPr="001720FD">
          <w:type w:val="continuous"/>
          <w:pgSz w:w="12240" w:h="15840"/>
          <w:pgMar w:top="1760" w:right="1000" w:bottom="280" w:left="1140" w:header="720" w:footer="720" w:gutter="0"/>
          <w:cols w:num="2" w:space="720" w:equalWidth="0">
            <w:col w:w="4855" w:space="160"/>
            <w:col w:w="5085"/>
          </w:cols>
        </w:sectPr>
      </w:pPr>
    </w:p>
    <w:p w:rsidR="005A71D3" w:rsidRPr="001720FD" w:rsidRDefault="005A71D3">
      <w:pPr>
        <w:rPr>
          <w:sz w:val="26"/>
          <w:lang w:val="id-ID"/>
        </w:rPr>
        <w:sectPr w:rsidR="005A71D3" w:rsidRPr="001720FD">
          <w:pgSz w:w="12240" w:h="15840"/>
          <w:pgMar w:top="1760" w:right="1000" w:bottom="280" w:left="1140" w:header="1567" w:footer="0" w:gutter="0"/>
          <w:cols w:space="720"/>
        </w:sectPr>
      </w:pPr>
    </w:p>
    <w:p w:rsidR="00E0587D" w:rsidRPr="00AA032D" w:rsidRDefault="00AA032D" w:rsidP="00AA032D">
      <w:pPr>
        <w:pStyle w:val="BodyText"/>
        <w:spacing w:before="99" w:line="283" w:lineRule="auto"/>
        <w:ind w:left="130" w:right="38" w:firstLine="170"/>
        <w:jc w:val="both"/>
        <w:rPr>
          <w:color w:val="231F20"/>
          <w:w w:val="105"/>
          <w:lang w:val="id-ID"/>
        </w:rPr>
      </w:pPr>
      <w:r w:rsidRPr="00AA032D">
        <w:rPr>
          <w:color w:val="231F20"/>
          <w:w w:val="105"/>
        </w:rPr>
        <w:t>Malinau Regency is an area of ​​division from Bulungan</w:t>
      </w:r>
      <w:r>
        <w:rPr>
          <w:color w:val="231F20"/>
          <w:w w:val="105"/>
          <w:lang w:val="id-ID"/>
        </w:rPr>
        <w:t xml:space="preserve"> Regency</w:t>
      </w:r>
      <w:r w:rsidRPr="00AA032D">
        <w:rPr>
          <w:color w:val="231F20"/>
          <w:w w:val="105"/>
        </w:rPr>
        <w:t xml:space="preserve"> based on Law of the Republic of Indonesia Number: 22 of 1999 and Law of the Republic of Indonesia Number: 47 of 1999.</w:t>
      </w:r>
      <w:r>
        <w:rPr>
          <w:color w:val="231F20"/>
          <w:w w:val="105"/>
          <w:lang w:val="id-ID"/>
        </w:rPr>
        <w:t xml:space="preserve"> </w:t>
      </w:r>
      <w:r w:rsidRPr="00AA032D">
        <w:rPr>
          <w:color w:val="231F20"/>
          <w:w w:val="105"/>
          <w:lang w:val="id-ID"/>
        </w:rPr>
        <w:t xml:space="preserve">Malinau Regency is also part of the North Kalimantan Province, which </w:t>
      </w:r>
      <w:r w:rsidRPr="005A69EF">
        <w:rPr>
          <w:strike/>
          <w:color w:val="FF0000"/>
          <w:w w:val="105"/>
          <w:lang w:val="id-ID"/>
        </w:rPr>
        <w:t>was</w:t>
      </w:r>
      <w:r w:rsidRPr="00AA032D">
        <w:rPr>
          <w:color w:val="231F20"/>
          <w:w w:val="105"/>
          <w:lang w:val="id-ID"/>
        </w:rPr>
        <w:t xml:space="preserve"> </w:t>
      </w:r>
      <w:r w:rsidR="005A69EF">
        <w:rPr>
          <w:color w:val="FF0000"/>
          <w:w w:val="105"/>
        </w:rPr>
        <w:t xml:space="preserve">is </w:t>
      </w:r>
      <w:r w:rsidRPr="00AA032D">
        <w:rPr>
          <w:color w:val="231F20"/>
          <w:w w:val="105"/>
          <w:lang w:val="id-ID"/>
        </w:rPr>
        <w:t xml:space="preserve">also the result of the division of East Kalimantan Province in 2012. Since it has only been formed in recent years, Malinau </w:t>
      </w:r>
      <w:r w:rsidR="001A51C7">
        <w:rPr>
          <w:color w:val="231F20"/>
          <w:w w:val="105"/>
          <w:lang w:val="id-ID"/>
        </w:rPr>
        <w:t>Regency</w:t>
      </w:r>
      <w:r w:rsidRPr="00AA032D">
        <w:rPr>
          <w:color w:val="231F20"/>
          <w:w w:val="105"/>
          <w:lang w:val="id-ID"/>
        </w:rPr>
        <w:t xml:space="preserve"> still has shortcomings in terms of government, human resources, infrastructure, </w:t>
      </w:r>
      <w:r w:rsidRPr="005A69EF">
        <w:rPr>
          <w:strike/>
          <w:color w:val="FF0000"/>
          <w:w w:val="105"/>
          <w:lang w:val="id-ID"/>
        </w:rPr>
        <w:t>and</w:t>
      </w:r>
      <w:r w:rsidRPr="00AA032D">
        <w:rPr>
          <w:color w:val="231F20"/>
          <w:w w:val="105"/>
          <w:lang w:val="id-ID"/>
        </w:rPr>
        <w:t xml:space="preserve"> facilities, </w:t>
      </w:r>
      <w:r w:rsidR="005A69EF">
        <w:rPr>
          <w:color w:val="FF0000"/>
          <w:w w:val="105"/>
        </w:rPr>
        <w:t xml:space="preserve">and </w:t>
      </w:r>
      <w:r w:rsidRPr="00AA032D">
        <w:rPr>
          <w:color w:val="231F20"/>
          <w:w w:val="105"/>
          <w:lang w:val="id-ID"/>
        </w:rPr>
        <w:t xml:space="preserve">infrastructure. Until now, Malinau Regency is in a stage of </w:t>
      </w:r>
      <w:r w:rsidRPr="005A69EF">
        <w:rPr>
          <w:strike/>
          <w:color w:val="FF0000"/>
          <w:w w:val="105"/>
          <w:lang w:val="id-ID"/>
        </w:rPr>
        <w:t>the</w:t>
      </w:r>
      <w:r w:rsidRPr="00AA032D">
        <w:rPr>
          <w:color w:val="231F20"/>
          <w:w w:val="105"/>
          <w:lang w:val="id-ID"/>
        </w:rPr>
        <w:t xml:space="preserve"> regional development process</w:t>
      </w:r>
      <w:r>
        <w:rPr>
          <w:color w:val="231F20"/>
          <w:w w:val="105"/>
          <w:lang w:val="id-ID"/>
        </w:rPr>
        <w:t>.</w:t>
      </w:r>
    </w:p>
    <w:p w:rsidR="00AA032D" w:rsidRPr="00A961F2" w:rsidRDefault="00AA032D">
      <w:pPr>
        <w:pStyle w:val="BodyText"/>
        <w:spacing w:before="6" w:line="283" w:lineRule="auto"/>
        <w:ind w:left="130" w:right="39" w:firstLine="170"/>
        <w:jc w:val="both"/>
        <w:rPr>
          <w:color w:val="FF0000"/>
          <w:w w:val="105"/>
        </w:rPr>
      </w:pPr>
      <w:r w:rsidRPr="00A961F2">
        <w:rPr>
          <w:color w:val="231F20"/>
          <w:w w:val="105"/>
          <w:highlight w:val="yellow"/>
          <w:lang w:val="id-ID"/>
        </w:rPr>
        <w:t>Malinau Regency is an area rich in natural resource potential, this is reflected in the developing economic potential such as the agricultural sector (commodity forest products), the mining sector, and excavation (coal commodities).</w:t>
      </w:r>
      <w:r w:rsidR="00A961F2">
        <w:rPr>
          <w:color w:val="FF0000"/>
          <w:w w:val="105"/>
        </w:rPr>
        <w:t>-- rephrase</w:t>
      </w:r>
      <w:r w:rsidRPr="00AA032D">
        <w:rPr>
          <w:color w:val="231F20"/>
          <w:w w:val="105"/>
          <w:lang w:val="id-ID"/>
        </w:rPr>
        <w:t xml:space="preserve"> </w:t>
      </w:r>
      <w:r w:rsidRPr="00A961F2">
        <w:rPr>
          <w:color w:val="231F20"/>
          <w:w w:val="105"/>
          <w:highlight w:val="yellow"/>
          <w:lang w:val="id-ID"/>
        </w:rPr>
        <w:t>However, the lack of support for the construction of transportation facilities and infrastructure in the development of the economic sector in Malinau Regency is interrelated.</w:t>
      </w:r>
      <w:r w:rsidR="00A961F2">
        <w:rPr>
          <w:color w:val="FF0000"/>
          <w:w w:val="105"/>
        </w:rPr>
        <w:t>—rephrase – doesn’t connect with previous sentence</w:t>
      </w:r>
    </w:p>
    <w:p w:rsidR="004F1501" w:rsidRDefault="00AA032D" w:rsidP="004F1501">
      <w:pPr>
        <w:pStyle w:val="BodyText"/>
        <w:spacing w:before="6" w:line="283" w:lineRule="auto"/>
        <w:ind w:left="130" w:right="39" w:firstLine="170"/>
        <w:jc w:val="both"/>
        <w:rPr>
          <w:color w:val="231F20"/>
          <w:w w:val="105"/>
          <w:lang w:val="id-ID"/>
        </w:rPr>
      </w:pPr>
      <w:r w:rsidRPr="00AA032D">
        <w:rPr>
          <w:color w:val="231F20"/>
          <w:w w:val="105"/>
          <w:lang w:val="id-ID"/>
        </w:rPr>
        <w:t xml:space="preserve">The rate of economic growth in Malinau </w:t>
      </w:r>
      <w:r w:rsidR="001A51C7">
        <w:rPr>
          <w:color w:val="231F20"/>
          <w:w w:val="105"/>
          <w:lang w:val="id-ID"/>
        </w:rPr>
        <w:t>Regency</w:t>
      </w:r>
      <w:r w:rsidRPr="00AA032D">
        <w:rPr>
          <w:color w:val="231F20"/>
          <w:w w:val="105"/>
          <w:lang w:val="id-ID"/>
        </w:rPr>
        <w:t xml:space="preserve"> over several periods (2014-2018) </w:t>
      </w:r>
      <w:r w:rsidR="00A961F2">
        <w:rPr>
          <w:color w:val="FF0000"/>
          <w:w w:val="105"/>
        </w:rPr>
        <w:t xml:space="preserve">has </w:t>
      </w:r>
      <w:r w:rsidRPr="00AA032D">
        <w:rPr>
          <w:color w:val="231F20"/>
          <w:w w:val="105"/>
          <w:lang w:val="id-ID"/>
        </w:rPr>
        <w:t>experienced a downward trend of 6.53%. The highest economic growth occurred in 2016</w:t>
      </w:r>
      <w:r w:rsidR="00A961F2">
        <w:rPr>
          <w:color w:val="FF0000"/>
          <w:w w:val="105"/>
        </w:rPr>
        <w:t>,</w:t>
      </w:r>
      <w:r w:rsidRPr="00AA032D">
        <w:rPr>
          <w:color w:val="231F20"/>
          <w:w w:val="105"/>
          <w:lang w:val="id-ID"/>
        </w:rPr>
        <w:t xml:space="preserve"> reaching 11.55%</w:t>
      </w:r>
      <w:r w:rsidRPr="00A961F2">
        <w:rPr>
          <w:strike/>
          <w:color w:val="FF0000"/>
          <w:w w:val="105"/>
          <w:lang w:val="id-ID"/>
        </w:rPr>
        <w:t xml:space="preserve">, </w:t>
      </w:r>
      <w:r w:rsidRPr="00AA032D">
        <w:rPr>
          <w:color w:val="231F20"/>
          <w:w w:val="105"/>
          <w:lang w:val="id-ID"/>
        </w:rPr>
        <w:t>and the lowest in 2018 of 3.67%. However, in general</w:t>
      </w:r>
      <w:r w:rsidR="00A961F2">
        <w:rPr>
          <w:color w:val="FF0000"/>
          <w:w w:val="105"/>
        </w:rPr>
        <w:t>,</w:t>
      </w:r>
      <w:r w:rsidRPr="00AA032D">
        <w:rPr>
          <w:color w:val="231F20"/>
          <w:w w:val="105"/>
          <w:lang w:val="id-ID"/>
        </w:rPr>
        <w:t xml:space="preserve"> the Malinau Regency falls into the very high category of regional ec</w:t>
      </w:r>
      <w:r>
        <w:rPr>
          <w:color w:val="231F20"/>
          <w:w w:val="105"/>
          <w:lang w:val="id-ID"/>
        </w:rPr>
        <w:t>onomic growth (Tarigan, 2005</w:t>
      </w:r>
      <w:r w:rsidRPr="00AA032D">
        <w:rPr>
          <w:color w:val="231F20"/>
          <w:w w:val="105"/>
          <w:lang w:val="id-ID"/>
        </w:rPr>
        <w:t>).</w:t>
      </w:r>
    </w:p>
    <w:p w:rsidR="004F1501" w:rsidRDefault="004F1501" w:rsidP="004F1501">
      <w:pPr>
        <w:pStyle w:val="BodyText"/>
        <w:spacing w:before="6" w:line="283" w:lineRule="auto"/>
        <w:ind w:left="130" w:right="39" w:firstLine="170"/>
        <w:jc w:val="both"/>
        <w:rPr>
          <w:color w:val="231F20"/>
          <w:w w:val="105"/>
          <w:lang w:val="id-ID"/>
        </w:rPr>
      </w:pPr>
    </w:p>
    <w:p w:rsidR="004F1501" w:rsidRDefault="004F1501" w:rsidP="004F1501">
      <w:pPr>
        <w:pStyle w:val="BodyText"/>
        <w:spacing w:before="6" w:line="283" w:lineRule="auto"/>
        <w:ind w:left="142" w:right="39"/>
        <w:jc w:val="both"/>
        <w:rPr>
          <w:color w:val="231F20"/>
          <w:w w:val="105"/>
          <w:lang w:val="id-ID"/>
        </w:rPr>
      </w:pPr>
      <w:r>
        <w:rPr>
          <w:noProof/>
          <w:lang w:eastAsia="ko-KR"/>
        </w:rPr>
        <w:drawing>
          <wp:inline distT="0" distB="0" distL="0" distR="0" wp14:anchorId="37A90E95" wp14:editId="6BA133B5">
            <wp:extent cx="2962275" cy="16764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CCD" w:rsidRPr="00A53CCD" w:rsidRDefault="004F1501" w:rsidP="00A53CCD">
      <w:pPr>
        <w:pStyle w:val="BodyText"/>
        <w:spacing w:before="6" w:line="283" w:lineRule="auto"/>
        <w:ind w:right="39"/>
        <w:jc w:val="center"/>
        <w:rPr>
          <w:color w:val="231F20"/>
          <w:w w:val="105"/>
          <w:sz w:val="15"/>
          <w:szCs w:val="15"/>
          <w:lang w:val="id-ID"/>
        </w:rPr>
      </w:pPr>
      <w:r w:rsidRPr="00A53CCD">
        <w:rPr>
          <w:b/>
          <w:color w:val="231F20"/>
          <w:w w:val="105"/>
          <w:sz w:val="15"/>
          <w:szCs w:val="15"/>
          <w:lang w:val="id-ID"/>
        </w:rPr>
        <w:t>Figure 1</w:t>
      </w:r>
      <w:r w:rsidRPr="00A53CCD">
        <w:rPr>
          <w:color w:val="231F20"/>
          <w:w w:val="105"/>
          <w:sz w:val="15"/>
          <w:szCs w:val="15"/>
          <w:lang w:val="id-ID"/>
        </w:rPr>
        <w:t xml:space="preserve">: </w:t>
      </w:r>
      <w:r w:rsidR="00A53CCD" w:rsidRPr="00A53CCD">
        <w:rPr>
          <w:color w:val="231F20"/>
          <w:w w:val="105"/>
          <w:sz w:val="15"/>
          <w:szCs w:val="15"/>
          <w:lang w:val="id-ID"/>
        </w:rPr>
        <w:t xml:space="preserve">Average Economic Structure in Malinau </w:t>
      </w:r>
    </w:p>
    <w:p w:rsidR="004F1501" w:rsidRPr="00A53CCD" w:rsidRDefault="003348DA" w:rsidP="00A53CCD">
      <w:pPr>
        <w:pStyle w:val="BodyText"/>
        <w:spacing w:before="6" w:line="283" w:lineRule="auto"/>
        <w:ind w:right="39"/>
        <w:jc w:val="center"/>
        <w:rPr>
          <w:color w:val="231F20"/>
          <w:w w:val="105"/>
          <w:sz w:val="15"/>
          <w:szCs w:val="15"/>
          <w:lang w:val="id-ID"/>
        </w:rPr>
      </w:pPr>
      <w:r>
        <w:rPr>
          <w:color w:val="231F20"/>
          <w:w w:val="105"/>
          <w:sz w:val="15"/>
          <w:szCs w:val="15"/>
          <w:lang w:val="id-ID"/>
        </w:rPr>
        <w:t>Regency,</w:t>
      </w:r>
      <w:r w:rsidR="00A53CCD" w:rsidRPr="00A53CCD">
        <w:rPr>
          <w:color w:val="231F20"/>
          <w:w w:val="105"/>
          <w:sz w:val="15"/>
          <w:szCs w:val="15"/>
          <w:lang w:val="id-ID"/>
        </w:rPr>
        <w:t xml:space="preserve"> 2014-2018 (%)</w:t>
      </w:r>
    </w:p>
    <w:p w:rsidR="004F1501" w:rsidRDefault="004F1501">
      <w:pPr>
        <w:pStyle w:val="BodyText"/>
        <w:spacing w:before="6" w:line="283" w:lineRule="auto"/>
        <w:ind w:left="130" w:right="39" w:firstLine="170"/>
        <w:jc w:val="both"/>
        <w:rPr>
          <w:color w:val="231F20"/>
          <w:w w:val="105"/>
          <w:lang w:val="id-ID"/>
        </w:rPr>
      </w:pPr>
    </w:p>
    <w:p w:rsidR="00F8377E" w:rsidRDefault="00A53CCD" w:rsidP="00F8377E">
      <w:pPr>
        <w:pStyle w:val="BodyText"/>
        <w:spacing w:before="6" w:line="283" w:lineRule="auto"/>
        <w:ind w:left="130" w:right="39" w:firstLine="170"/>
        <w:jc w:val="both"/>
        <w:rPr>
          <w:color w:val="231F20"/>
          <w:w w:val="105"/>
          <w:lang w:val="id-ID"/>
        </w:rPr>
      </w:pPr>
      <w:r w:rsidRPr="00A53CCD">
        <w:rPr>
          <w:color w:val="231F20"/>
          <w:w w:val="105"/>
          <w:lang w:val="id-ID"/>
        </w:rPr>
        <w:t>Based on records from the Central Statistics Agency of Malinau Regency (2019)</w:t>
      </w:r>
      <w:r w:rsidR="001A51C7" w:rsidRPr="001A51C7">
        <w:rPr>
          <w:color w:val="231F20"/>
          <w:w w:val="105"/>
          <w:lang w:val="id-ID"/>
        </w:rPr>
        <w:t>, the pattern of economic growth in the Malinau Regency in the 2014-2018 period was mainly supported by the primary structure consisting of</w:t>
      </w:r>
      <w:r w:rsidR="001A51C7" w:rsidRPr="00A961F2">
        <w:rPr>
          <w:strike/>
          <w:color w:val="FF0000"/>
          <w:w w:val="105"/>
          <w:lang w:val="id-ID"/>
        </w:rPr>
        <w:t xml:space="preserve">: </w:t>
      </w:r>
      <w:r w:rsidR="001A51C7" w:rsidRPr="001A51C7">
        <w:rPr>
          <w:color w:val="231F20"/>
          <w:w w:val="105"/>
          <w:lang w:val="id-ID"/>
        </w:rPr>
        <w:t>the agricultural sector</w:t>
      </w:r>
      <w:r w:rsidR="001A51C7" w:rsidRPr="00A961F2">
        <w:rPr>
          <w:strike/>
          <w:color w:val="FF0000"/>
          <w:w w:val="105"/>
          <w:lang w:val="id-ID"/>
        </w:rPr>
        <w:t xml:space="preserve">, </w:t>
      </w:r>
      <w:r w:rsidR="001A51C7" w:rsidRPr="001A51C7">
        <w:rPr>
          <w:color w:val="231F20"/>
          <w:w w:val="105"/>
          <w:lang w:val="id-ID"/>
        </w:rPr>
        <w:t xml:space="preserve">and the mining and quarrying sector to an average of 53.38%. Thus, these two sectors are considered to be the leading sectors in Malinau </w:t>
      </w:r>
      <w:r w:rsidR="001A51C7">
        <w:rPr>
          <w:color w:val="231F20"/>
          <w:w w:val="105"/>
          <w:lang w:val="id-ID"/>
        </w:rPr>
        <w:t>Regency</w:t>
      </w:r>
      <w:r w:rsidR="001A51C7" w:rsidRPr="001A51C7">
        <w:rPr>
          <w:color w:val="231F20"/>
          <w:w w:val="105"/>
          <w:lang w:val="id-ID"/>
        </w:rPr>
        <w:t xml:space="preserve">. Considering the potential of economic resources in the contribution of </w:t>
      </w:r>
      <w:r w:rsidR="001A51C7">
        <w:rPr>
          <w:color w:val="231F20"/>
          <w:w w:val="105"/>
          <w:lang w:val="id-ID"/>
        </w:rPr>
        <w:t>Gross Regional Domestic Product (</w:t>
      </w:r>
      <w:r w:rsidR="001A51C7" w:rsidRPr="001A51C7">
        <w:rPr>
          <w:color w:val="231F20"/>
          <w:w w:val="105"/>
          <w:lang w:val="id-ID"/>
        </w:rPr>
        <w:t>GRDP</w:t>
      </w:r>
      <w:r w:rsidR="001A51C7">
        <w:rPr>
          <w:color w:val="231F20"/>
          <w:w w:val="105"/>
          <w:lang w:val="id-ID"/>
        </w:rPr>
        <w:t>)</w:t>
      </w:r>
      <w:r w:rsidR="001A51C7" w:rsidRPr="001A51C7">
        <w:rPr>
          <w:color w:val="231F20"/>
          <w:w w:val="105"/>
          <w:lang w:val="id-ID"/>
        </w:rPr>
        <w:t>, the largest primary structure</w:t>
      </w:r>
      <w:r w:rsidR="00A961F2">
        <w:rPr>
          <w:color w:val="FF0000"/>
          <w:w w:val="105"/>
        </w:rPr>
        <w:t>,</w:t>
      </w:r>
      <w:r w:rsidR="001A51C7" w:rsidRPr="001A51C7">
        <w:rPr>
          <w:color w:val="231F20"/>
          <w:w w:val="105"/>
          <w:lang w:val="id-ID"/>
        </w:rPr>
        <w:t xml:space="preserve"> among others</w:t>
      </w:r>
      <w:r w:rsidR="00A961F2">
        <w:rPr>
          <w:color w:val="FF0000"/>
          <w:w w:val="105"/>
        </w:rPr>
        <w:t>,</w:t>
      </w:r>
      <w:r w:rsidR="001A51C7" w:rsidRPr="001A51C7">
        <w:rPr>
          <w:color w:val="231F20"/>
          <w:w w:val="105"/>
          <w:lang w:val="id-ID"/>
        </w:rPr>
        <w:t xml:space="preserve"> comes from the vast land area of ​​the Malinau </w:t>
      </w:r>
      <w:r w:rsidR="001A51C7">
        <w:rPr>
          <w:color w:val="231F20"/>
          <w:w w:val="105"/>
          <w:lang w:val="id-ID"/>
        </w:rPr>
        <w:t>Regency</w:t>
      </w:r>
      <w:r w:rsidR="001A51C7" w:rsidRPr="001A51C7">
        <w:rPr>
          <w:color w:val="231F20"/>
          <w:w w:val="105"/>
          <w:lang w:val="id-ID"/>
        </w:rPr>
        <w:t xml:space="preserve"> forest</w:t>
      </w:r>
      <w:r>
        <w:rPr>
          <w:color w:val="231F20"/>
          <w:w w:val="105"/>
          <w:lang w:val="id-ID"/>
        </w:rPr>
        <w:t xml:space="preserve"> (</w:t>
      </w:r>
      <w:r w:rsidRPr="00A53CCD">
        <w:rPr>
          <w:i/>
          <w:color w:val="231F20"/>
          <w:w w:val="105"/>
          <w:lang w:val="id-ID"/>
        </w:rPr>
        <w:t>Figure 1</w:t>
      </w:r>
      <w:r>
        <w:rPr>
          <w:color w:val="231F20"/>
          <w:w w:val="105"/>
          <w:lang w:val="id-ID"/>
        </w:rPr>
        <w:t>)</w:t>
      </w:r>
      <w:r w:rsidR="001A51C7" w:rsidRPr="001A51C7">
        <w:rPr>
          <w:color w:val="231F20"/>
          <w:w w:val="105"/>
          <w:lang w:val="id-ID"/>
        </w:rPr>
        <w:t>.</w:t>
      </w:r>
    </w:p>
    <w:p w:rsidR="00F8377E" w:rsidRDefault="00F8377E">
      <w:pPr>
        <w:pStyle w:val="BodyText"/>
        <w:spacing w:before="6" w:line="283" w:lineRule="auto"/>
        <w:ind w:left="130" w:right="39" w:firstLine="170"/>
        <w:jc w:val="both"/>
        <w:rPr>
          <w:color w:val="231F20"/>
          <w:w w:val="105"/>
          <w:lang w:val="id-ID"/>
        </w:rPr>
      </w:pPr>
    </w:p>
    <w:p w:rsidR="00F8377E" w:rsidRDefault="00F8377E">
      <w:pPr>
        <w:pStyle w:val="BodyText"/>
        <w:spacing w:before="6" w:line="283" w:lineRule="auto"/>
        <w:ind w:left="130" w:right="39" w:firstLine="170"/>
        <w:jc w:val="both"/>
        <w:rPr>
          <w:color w:val="231F20"/>
          <w:w w:val="105"/>
          <w:lang w:val="id-ID"/>
        </w:rPr>
      </w:pPr>
    </w:p>
    <w:p w:rsidR="00F8377E" w:rsidRDefault="00F8377E">
      <w:pPr>
        <w:pStyle w:val="BodyText"/>
        <w:spacing w:before="6" w:line="283" w:lineRule="auto"/>
        <w:ind w:left="130" w:right="39" w:firstLine="170"/>
        <w:jc w:val="both"/>
        <w:rPr>
          <w:color w:val="231F20"/>
          <w:w w:val="105"/>
          <w:lang w:val="id-ID"/>
        </w:rPr>
      </w:pPr>
    </w:p>
    <w:p w:rsidR="00F8377E" w:rsidRDefault="00F8377E">
      <w:pPr>
        <w:pStyle w:val="BodyText"/>
        <w:spacing w:before="6" w:line="283" w:lineRule="auto"/>
        <w:ind w:left="130" w:right="39" w:firstLine="170"/>
        <w:jc w:val="both"/>
        <w:rPr>
          <w:color w:val="231F20"/>
          <w:w w:val="105"/>
          <w:lang w:val="id-ID"/>
        </w:rPr>
      </w:pPr>
    </w:p>
    <w:p w:rsidR="00F8377E" w:rsidRDefault="00F8377E">
      <w:pPr>
        <w:pStyle w:val="BodyText"/>
        <w:spacing w:before="6" w:line="283" w:lineRule="auto"/>
        <w:ind w:left="130" w:right="39" w:firstLine="170"/>
        <w:jc w:val="both"/>
        <w:rPr>
          <w:color w:val="231F20"/>
          <w:w w:val="105"/>
          <w:lang w:val="id-ID"/>
        </w:rPr>
      </w:pPr>
    </w:p>
    <w:p w:rsidR="001A51C7" w:rsidRDefault="001A51C7">
      <w:pPr>
        <w:pStyle w:val="BodyText"/>
        <w:spacing w:before="6" w:line="283" w:lineRule="auto"/>
        <w:ind w:left="130" w:right="39" w:firstLine="170"/>
        <w:jc w:val="both"/>
        <w:rPr>
          <w:color w:val="231F20"/>
          <w:w w:val="105"/>
          <w:lang w:val="id-ID"/>
        </w:rPr>
      </w:pPr>
      <w:r w:rsidRPr="001A51C7">
        <w:rPr>
          <w:color w:val="231F20"/>
          <w:w w:val="105"/>
          <w:lang w:val="id-ID"/>
        </w:rPr>
        <w:t xml:space="preserve">The structure of the second largest economic sector comes from the tertiary structure which includes the trade, hotel and restaurant sector, the transportation and communication sector, the financial sector, </w:t>
      </w:r>
      <w:r w:rsidR="00A961F2">
        <w:rPr>
          <w:color w:val="FF0000"/>
          <w:w w:val="105"/>
        </w:rPr>
        <w:t xml:space="preserve">and </w:t>
      </w:r>
      <w:r w:rsidRPr="001A51C7">
        <w:rPr>
          <w:color w:val="231F20"/>
          <w:w w:val="105"/>
          <w:lang w:val="id-ID"/>
        </w:rPr>
        <w:t>leasing and business services</w:t>
      </w:r>
      <w:r w:rsidRPr="00A961F2">
        <w:rPr>
          <w:strike/>
          <w:color w:val="FF0000"/>
          <w:w w:val="105"/>
          <w:lang w:val="id-ID"/>
        </w:rPr>
        <w:t xml:space="preserve">, </w:t>
      </w:r>
      <w:r w:rsidRPr="001A51C7">
        <w:rPr>
          <w:color w:val="231F20"/>
          <w:w w:val="105"/>
          <w:lang w:val="id-ID"/>
        </w:rPr>
        <w:t>and the service sector with an average contribution of 23.84%. Meanwhile, the third position is the structure of the secondary economic sector consisting of</w:t>
      </w:r>
      <w:r w:rsidRPr="00A961F2">
        <w:rPr>
          <w:strike/>
          <w:color w:val="FF0000"/>
          <w:w w:val="105"/>
          <w:lang w:val="id-ID"/>
        </w:rPr>
        <w:t xml:space="preserve">: </w:t>
      </w:r>
      <w:r w:rsidRPr="001A51C7">
        <w:rPr>
          <w:color w:val="231F20"/>
          <w:w w:val="105"/>
          <w:lang w:val="id-ID"/>
        </w:rPr>
        <w:t>the industrial sector of processing, the electricity sector, gas and</w:t>
      </w:r>
      <w:r w:rsidR="001F1B43" w:rsidRPr="001A51C7">
        <w:rPr>
          <w:color w:val="231F20"/>
          <w:w w:val="105"/>
          <w:lang w:val="id-ID"/>
        </w:rPr>
        <w:t xml:space="preserve"> </w:t>
      </w:r>
      <w:r w:rsidR="001F1B43">
        <w:rPr>
          <w:color w:val="231F20"/>
          <w:w w:val="105"/>
          <w:lang w:val="id-ID"/>
        </w:rPr>
        <w:t>clean</w:t>
      </w:r>
      <w:r w:rsidR="001F1B43" w:rsidRPr="001A51C7">
        <w:rPr>
          <w:color w:val="231F20"/>
          <w:w w:val="105"/>
          <w:lang w:val="id-ID"/>
        </w:rPr>
        <w:t xml:space="preserve"> </w:t>
      </w:r>
      <w:r w:rsidRPr="001A51C7">
        <w:rPr>
          <w:color w:val="231F20"/>
          <w:w w:val="105"/>
          <w:lang w:val="id-ID"/>
        </w:rPr>
        <w:t xml:space="preserve">water, and the construction </w:t>
      </w:r>
      <w:r w:rsidRPr="001A4700">
        <w:rPr>
          <w:strike/>
          <w:color w:val="FF0000"/>
          <w:w w:val="105"/>
          <w:lang w:val="id-ID"/>
        </w:rPr>
        <w:t>and construction</w:t>
      </w:r>
      <w:r w:rsidRPr="001A51C7">
        <w:rPr>
          <w:color w:val="231F20"/>
          <w:w w:val="105"/>
          <w:lang w:val="id-ID"/>
        </w:rPr>
        <w:t xml:space="preserve"> sector with an average contribution of 22.78%</w:t>
      </w:r>
      <w:r>
        <w:rPr>
          <w:color w:val="231F20"/>
          <w:w w:val="105"/>
          <w:lang w:val="id-ID"/>
        </w:rPr>
        <w:t>.</w:t>
      </w:r>
    </w:p>
    <w:p w:rsidR="001A51C7" w:rsidRDefault="001A51C7" w:rsidP="00F8377E">
      <w:pPr>
        <w:pStyle w:val="BodyText"/>
        <w:spacing w:before="6" w:line="283" w:lineRule="auto"/>
        <w:ind w:left="130" w:right="39" w:firstLine="170"/>
        <w:jc w:val="both"/>
        <w:rPr>
          <w:color w:val="231F20"/>
          <w:w w:val="105"/>
          <w:lang w:val="id-ID"/>
        </w:rPr>
      </w:pPr>
      <w:r w:rsidRPr="00CF43E2">
        <w:rPr>
          <w:color w:val="231F20"/>
          <w:w w:val="105"/>
          <w:highlight w:val="yellow"/>
          <w:lang w:val="id-ID"/>
        </w:rPr>
        <w:t>The next problem is that the existing economic growth is not yet known economic sectors that have the potential for competitive and comparative competitiveness,</w:t>
      </w:r>
      <w:r w:rsidR="00CF43E2">
        <w:rPr>
          <w:color w:val="FF0000"/>
          <w:w w:val="105"/>
        </w:rPr>
        <w:t>--rephrase</w:t>
      </w:r>
      <w:r w:rsidRPr="001A51C7">
        <w:rPr>
          <w:color w:val="231F20"/>
          <w:w w:val="105"/>
          <w:lang w:val="id-ID"/>
        </w:rPr>
        <w:t xml:space="preserve"> so that the existing growth is only limited to quantitative figures. </w:t>
      </w:r>
      <w:r w:rsidRPr="00CF43E2">
        <w:rPr>
          <w:color w:val="231F20"/>
          <w:w w:val="105"/>
          <w:highlight w:val="yellow"/>
          <w:lang w:val="id-ID"/>
        </w:rPr>
        <w:t>For this reason, after the leading sector is known, it is continued</w:t>
      </w:r>
      <w:r w:rsidR="00CF43E2">
        <w:rPr>
          <w:color w:val="FF0000"/>
          <w:w w:val="105"/>
        </w:rPr>
        <w:t>-- rephrase</w:t>
      </w:r>
      <w:r w:rsidRPr="001A51C7">
        <w:rPr>
          <w:color w:val="231F20"/>
          <w:w w:val="105"/>
          <w:lang w:val="id-ID"/>
        </w:rPr>
        <w:t xml:space="preserve"> with the identification of sectors that have the potential for competitive a</w:t>
      </w:r>
      <w:r w:rsidR="00F8377E">
        <w:rPr>
          <w:color w:val="231F20"/>
          <w:w w:val="105"/>
          <w:lang w:val="id-ID"/>
        </w:rPr>
        <w:t>nd comparative competitiveness.</w:t>
      </w:r>
    </w:p>
    <w:p w:rsidR="001A51C7" w:rsidRDefault="001A51C7" w:rsidP="001A51C7">
      <w:pPr>
        <w:pStyle w:val="BodyText"/>
        <w:spacing w:before="6" w:line="283" w:lineRule="auto"/>
        <w:ind w:left="130" w:right="39" w:firstLine="170"/>
        <w:jc w:val="both"/>
        <w:rPr>
          <w:color w:val="231F20"/>
          <w:w w:val="105"/>
          <w:lang w:val="id-ID"/>
        </w:rPr>
      </w:pPr>
      <w:r w:rsidRPr="001A51C7">
        <w:rPr>
          <w:color w:val="231F20"/>
          <w:w w:val="105"/>
          <w:lang w:val="id-ID"/>
        </w:rPr>
        <w:t xml:space="preserve">Some other </w:t>
      </w:r>
      <w:r w:rsidRPr="00E9350F">
        <w:rPr>
          <w:color w:val="231F20"/>
          <w:w w:val="105"/>
          <w:highlight w:val="yellow"/>
          <w:lang w:val="id-ID"/>
        </w:rPr>
        <w:t>things</w:t>
      </w:r>
      <w:r w:rsidR="00E9350F">
        <w:rPr>
          <w:color w:val="FF0000"/>
          <w:w w:val="105"/>
        </w:rPr>
        <w:t>--reword</w:t>
      </w:r>
      <w:r w:rsidRPr="001A51C7">
        <w:rPr>
          <w:color w:val="231F20"/>
          <w:w w:val="105"/>
          <w:lang w:val="id-ID"/>
        </w:rPr>
        <w:t xml:space="preserve"> that must be resolved so that economic growth is not only limited to numbers and have an important meaning is to identify leading economic sectors that have the potential for </w:t>
      </w:r>
      <w:r w:rsidRPr="00E9350F">
        <w:rPr>
          <w:color w:val="231F20"/>
          <w:w w:val="105"/>
          <w:highlight w:val="yellow"/>
          <w:lang w:val="id-ID"/>
        </w:rPr>
        <w:t>competitive competitiveness</w:t>
      </w:r>
      <w:r w:rsidR="00E9350F">
        <w:rPr>
          <w:color w:val="FF0000"/>
          <w:w w:val="105"/>
        </w:rPr>
        <w:t>--rephrase</w:t>
      </w:r>
      <w:r w:rsidRPr="001A51C7">
        <w:rPr>
          <w:color w:val="231F20"/>
          <w:w w:val="105"/>
          <w:lang w:val="id-ID"/>
        </w:rPr>
        <w:t xml:space="preserve"> and specialization. This is important, because the potential for unknown advantages is difficult to develop. However, if it is already known which sectors can be the mainstay in the future, the Government can take the right </w:t>
      </w:r>
      <w:r w:rsidRPr="00E9350F">
        <w:rPr>
          <w:color w:val="231F20"/>
          <w:w w:val="105"/>
          <w:highlight w:val="yellow"/>
          <w:lang w:val="id-ID"/>
        </w:rPr>
        <w:t>attitude</w:t>
      </w:r>
      <w:r w:rsidR="00E9350F">
        <w:rPr>
          <w:color w:val="FF0000"/>
          <w:w w:val="105"/>
        </w:rPr>
        <w:t>--reword</w:t>
      </w:r>
      <w:r w:rsidRPr="001A51C7">
        <w:rPr>
          <w:color w:val="231F20"/>
          <w:w w:val="105"/>
          <w:lang w:val="id-ID"/>
        </w:rPr>
        <w:t xml:space="preserve"> and policy towards these sectors.</w:t>
      </w:r>
    </w:p>
    <w:p w:rsidR="001A51C7" w:rsidRDefault="001A51C7">
      <w:pPr>
        <w:pStyle w:val="BodyText"/>
        <w:spacing w:before="6" w:line="283" w:lineRule="auto"/>
        <w:ind w:left="130" w:right="39" w:firstLine="170"/>
        <w:jc w:val="both"/>
        <w:rPr>
          <w:color w:val="231F20"/>
          <w:w w:val="105"/>
          <w:lang w:val="id-ID"/>
        </w:rPr>
      </w:pPr>
      <w:r w:rsidRPr="001A51C7">
        <w:rPr>
          <w:color w:val="231F20"/>
          <w:w w:val="105"/>
          <w:lang w:val="id-ID"/>
        </w:rPr>
        <w:t xml:space="preserve">The objectives to be obtained </w:t>
      </w:r>
      <w:r w:rsidRPr="00E9350F">
        <w:rPr>
          <w:strike/>
          <w:color w:val="FF0000"/>
          <w:w w:val="105"/>
          <w:lang w:val="id-ID"/>
        </w:rPr>
        <w:t>in the future</w:t>
      </w:r>
      <w:r w:rsidRPr="00E9350F">
        <w:rPr>
          <w:color w:val="FF0000"/>
          <w:w w:val="105"/>
          <w:lang w:val="id-ID"/>
        </w:rPr>
        <w:t xml:space="preserve"> </w:t>
      </w:r>
      <w:r w:rsidRPr="001A51C7">
        <w:rPr>
          <w:color w:val="231F20"/>
          <w:w w:val="105"/>
          <w:lang w:val="id-ID"/>
        </w:rPr>
        <w:t>from t</w:t>
      </w:r>
      <w:r>
        <w:rPr>
          <w:color w:val="231F20"/>
          <w:w w:val="105"/>
          <w:lang w:val="id-ID"/>
        </w:rPr>
        <w:t>his research are to identify:</w:t>
      </w:r>
    </w:p>
    <w:p w:rsidR="001A51C7" w:rsidRDefault="001A51C7" w:rsidP="001A51C7">
      <w:pPr>
        <w:pStyle w:val="BodyText"/>
        <w:numPr>
          <w:ilvl w:val="0"/>
          <w:numId w:val="7"/>
        </w:numPr>
        <w:spacing w:before="6" w:line="283" w:lineRule="auto"/>
        <w:ind w:left="284" w:right="39" w:hanging="142"/>
        <w:jc w:val="both"/>
        <w:rPr>
          <w:color w:val="231F20"/>
          <w:w w:val="105"/>
          <w:lang w:val="id-ID"/>
        </w:rPr>
      </w:pPr>
      <w:r>
        <w:rPr>
          <w:color w:val="231F20"/>
          <w:w w:val="105"/>
          <w:lang w:val="id-ID"/>
        </w:rPr>
        <w:t>Le</w:t>
      </w:r>
      <w:r w:rsidRPr="001A51C7">
        <w:rPr>
          <w:color w:val="231F20"/>
          <w:w w:val="105"/>
          <w:lang w:val="id-ID"/>
        </w:rPr>
        <w:t>ading sectors in the economy of</w:t>
      </w:r>
      <w:r w:rsidR="00427F95">
        <w:rPr>
          <w:color w:val="231F20"/>
          <w:w w:val="105"/>
          <w:lang w:val="id-ID"/>
        </w:rPr>
        <w:t xml:space="preserve"> the Malinau Regency region.</w:t>
      </w:r>
    </w:p>
    <w:p w:rsidR="001A51C7" w:rsidRDefault="001A51C7" w:rsidP="001A51C7">
      <w:pPr>
        <w:pStyle w:val="BodyText"/>
        <w:numPr>
          <w:ilvl w:val="0"/>
          <w:numId w:val="7"/>
        </w:numPr>
        <w:spacing w:before="6" w:line="283" w:lineRule="auto"/>
        <w:ind w:left="284" w:right="39" w:hanging="142"/>
        <w:jc w:val="both"/>
        <w:rPr>
          <w:color w:val="231F20"/>
          <w:w w:val="105"/>
          <w:lang w:val="id-ID"/>
        </w:rPr>
      </w:pPr>
      <w:r w:rsidRPr="001A51C7">
        <w:rPr>
          <w:color w:val="231F20"/>
          <w:w w:val="105"/>
          <w:lang w:val="id-ID"/>
        </w:rPr>
        <w:t>The pattern of shifting structure of the economic sector in the economy of th</w:t>
      </w:r>
      <w:r w:rsidR="00427F95">
        <w:rPr>
          <w:color w:val="231F20"/>
          <w:w w:val="105"/>
          <w:lang w:val="id-ID"/>
        </w:rPr>
        <w:t>e Malinau Regency.</w:t>
      </w:r>
    </w:p>
    <w:p w:rsidR="001A51C7" w:rsidRDefault="001A51C7" w:rsidP="001A51C7">
      <w:pPr>
        <w:pStyle w:val="BodyText"/>
        <w:numPr>
          <w:ilvl w:val="0"/>
          <w:numId w:val="7"/>
        </w:numPr>
        <w:spacing w:before="6" w:line="283" w:lineRule="auto"/>
        <w:ind w:left="284" w:right="39" w:hanging="142"/>
        <w:jc w:val="both"/>
        <w:rPr>
          <w:color w:val="231F20"/>
          <w:w w:val="105"/>
          <w:lang w:val="id-ID"/>
        </w:rPr>
      </w:pPr>
      <w:r w:rsidRPr="001A51C7">
        <w:rPr>
          <w:color w:val="231F20"/>
          <w:w w:val="105"/>
          <w:lang w:val="id-ID"/>
        </w:rPr>
        <w:t>Competitiveness of export commodities in the economy of the Malinau Regency.</w:t>
      </w:r>
    </w:p>
    <w:p w:rsidR="001A51C7" w:rsidRDefault="001A51C7" w:rsidP="009F4A42">
      <w:pPr>
        <w:spacing w:before="1" w:line="283" w:lineRule="auto"/>
        <w:jc w:val="both"/>
        <w:rPr>
          <w:color w:val="231F20"/>
          <w:w w:val="105"/>
          <w:sz w:val="17"/>
          <w:szCs w:val="17"/>
          <w:lang w:val="id-ID"/>
        </w:rPr>
      </w:pPr>
    </w:p>
    <w:p w:rsidR="009F4A42" w:rsidRDefault="009F4A42" w:rsidP="009F4A42">
      <w:pPr>
        <w:spacing w:before="1" w:line="283" w:lineRule="auto"/>
        <w:jc w:val="both"/>
        <w:rPr>
          <w:color w:val="231F20"/>
          <w:w w:val="105"/>
          <w:sz w:val="17"/>
          <w:szCs w:val="17"/>
          <w:lang w:val="id-ID"/>
        </w:rPr>
      </w:pPr>
    </w:p>
    <w:p w:rsidR="001A51C7" w:rsidRDefault="001A51C7" w:rsidP="001A51C7">
      <w:pPr>
        <w:pStyle w:val="Heading1"/>
        <w:numPr>
          <w:ilvl w:val="0"/>
          <w:numId w:val="5"/>
        </w:numPr>
        <w:tabs>
          <w:tab w:val="left" w:pos="391"/>
        </w:tabs>
        <w:spacing w:before="98"/>
      </w:pPr>
      <w:r w:rsidRPr="00AA032D">
        <w:rPr>
          <w:color w:val="231F20"/>
        </w:rPr>
        <w:t>Related Literature</w:t>
      </w:r>
    </w:p>
    <w:p w:rsidR="00B92017" w:rsidRDefault="00B92017" w:rsidP="00B92017">
      <w:pPr>
        <w:pStyle w:val="Heading2"/>
        <w:numPr>
          <w:ilvl w:val="1"/>
          <w:numId w:val="5"/>
        </w:numPr>
        <w:tabs>
          <w:tab w:val="left" w:pos="647"/>
        </w:tabs>
        <w:spacing w:before="212"/>
      </w:pPr>
      <w:r w:rsidRPr="00B92017">
        <w:rPr>
          <w:color w:val="231F20"/>
          <w:w w:val="105"/>
        </w:rPr>
        <w:t>Leading Sector Theory</w:t>
      </w:r>
    </w:p>
    <w:p w:rsidR="001A51C7" w:rsidRDefault="001A51C7" w:rsidP="001A51C7">
      <w:pPr>
        <w:pStyle w:val="BodyText"/>
        <w:spacing w:before="5"/>
        <w:rPr>
          <w:b/>
          <w:sz w:val="20"/>
        </w:rPr>
      </w:pPr>
    </w:p>
    <w:p w:rsidR="001A51C7" w:rsidRPr="00AF1BA4" w:rsidRDefault="00B92017" w:rsidP="005A71D3">
      <w:pPr>
        <w:pStyle w:val="BodyText"/>
        <w:spacing w:before="1" w:line="283" w:lineRule="auto"/>
        <w:ind w:left="130" w:right="38" w:firstLine="170"/>
        <w:jc w:val="both"/>
        <w:rPr>
          <w:color w:val="FF0000"/>
          <w:w w:val="105"/>
        </w:rPr>
      </w:pPr>
      <w:r w:rsidRPr="00E9350F">
        <w:rPr>
          <w:color w:val="231F20"/>
          <w:w w:val="105"/>
          <w:highlight w:val="yellow"/>
          <w:lang w:val="id-ID"/>
        </w:rPr>
        <w:t>This</w:t>
      </w:r>
      <w:r w:rsidR="00E9350F">
        <w:rPr>
          <w:color w:val="FF0000"/>
          <w:w w:val="105"/>
        </w:rPr>
        <w:t>—name the theory</w:t>
      </w:r>
      <w:r w:rsidRPr="00B92017">
        <w:rPr>
          <w:color w:val="231F20"/>
          <w:w w:val="105"/>
          <w:lang w:val="id-ID"/>
        </w:rPr>
        <w:t xml:space="preserve"> theory is based on the export of goods (commodities). The goals of developing this theory are to increase the rate of growth, job creation, and increase in income. The process of regional development is responding to foreign or domestic demand, beyond nodality, and multiplier effects.</w:t>
      </w:r>
      <w:r>
        <w:rPr>
          <w:color w:val="231F20"/>
          <w:w w:val="105"/>
          <w:lang w:val="id-ID"/>
        </w:rPr>
        <w:t xml:space="preserve"> </w:t>
      </w:r>
      <w:r w:rsidRPr="00B92017">
        <w:rPr>
          <w:color w:val="231F20"/>
          <w:w w:val="105"/>
          <w:lang w:val="id-ID"/>
        </w:rPr>
        <w:t xml:space="preserve">For this reason, there is integration between types of industries, infrastructure and industrial expansion. Hypotheses can be arranged, </w:t>
      </w:r>
      <w:r w:rsidRPr="00AF1BA4">
        <w:rPr>
          <w:color w:val="231F20"/>
          <w:w w:val="105"/>
          <w:highlight w:val="yellow"/>
          <w:lang w:val="id-ID"/>
        </w:rPr>
        <w:t>in addition to location</w:t>
      </w:r>
      <w:r w:rsidR="005A71D3" w:rsidRPr="00AF1BA4">
        <w:rPr>
          <w:color w:val="231F20"/>
          <w:w w:val="105"/>
          <w:highlight w:val="yellow"/>
          <w:lang w:val="id-ID"/>
        </w:rPr>
        <w:t xml:space="preserve"> also the sectoral role and Location </w:t>
      </w:r>
      <w:r w:rsidR="00403996" w:rsidRPr="00AF1BA4">
        <w:rPr>
          <w:color w:val="231F20"/>
          <w:w w:val="105"/>
          <w:highlight w:val="yellow"/>
          <w:lang w:val="id-ID"/>
        </w:rPr>
        <w:t>Quotient</w:t>
      </w:r>
      <w:r w:rsidR="005A71D3" w:rsidRPr="00AF1BA4">
        <w:rPr>
          <w:color w:val="231F20"/>
          <w:w w:val="105"/>
          <w:highlight w:val="yellow"/>
          <w:lang w:val="id-ID"/>
        </w:rPr>
        <w:t xml:space="preserve"> (LQ)</w:t>
      </w:r>
      <w:r w:rsidRPr="00AF1BA4">
        <w:rPr>
          <w:color w:val="231F20"/>
          <w:w w:val="105"/>
          <w:highlight w:val="yellow"/>
          <w:lang w:val="id-ID"/>
        </w:rPr>
        <w:t xml:space="preserve"> housing construction sector (real estate</w:t>
      </w:r>
      <w:r w:rsidR="005A71D3" w:rsidRPr="00AF1BA4">
        <w:rPr>
          <w:color w:val="231F20"/>
          <w:w w:val="105"/>
          <w:highlight w:val="yellow"/>
          <w:lang w:val="id-ID"/>
        </w:rPr>
        <w:t>) in one area (</w:t>
      </w:r>
      <w:r w:rsidR="00403996" w:rsidRPr="00AF1BA4">
        <w:rPr>
          <w:color w:val="231F20"/>
          <w:w w:val="105"/>
          <w:highlight w:val="yellow"/>
          <w:lang w:val="id-ID"/>
        </w:rPr>
        <w:t>Miller and Geltner, 2004</w:t>
      </w:r>
      <w:r w:rsidRPr="00AF1BA4">
        <w:rPr>
          <w:color w:val="231F20"/>
          <w:w w:val="105"/>
          <w:highlight w:val="yellow"/>
          <w:lang w:val="id-ID"/>
        </w:rPr>
        <w:t>).</w:t>
      </w:r>
      <w:r w:rsidR="00AF1BA4">
        <w:rPr>
          <w:color w:val="FF0000"/>
          <w:w w:val="105"/>
        </w:rPr>
        <w:t>--rephrase</w:t>
      </w:r>
    </w:p>
    <w:p w:rsidR="00F8377E" w:rsidRDefault="00F8377E" w:rsidP="005A71D3">
      <w:pPr>
        <w:pStyle w:val="BodyText"/>
        <w:spacing w:before="1" w:line="283" w:lineRule="auto"/>
        <w:ind w:left="130" w:right="38" w:firstLine="170"/>
        <w:jc w:val="both"/>
        <w:rPr>
          <w:color w:val="231F20"/>
          <w:w w:val="105"/>
          <w:lang w:val="id-ID"/>
        </w:rPr>
      </w:pPr>
    </w:p>
    <w:p w:rsidR="00F8377E" w:rsidRDefault="00F8377E" w:rsidP="005A71D3">
      <w:pPr>
        <w:pStyle w:val="BodyText"/>
        <w:spacing w:before="1" w:line="283" w:lineRule="auto"/>
        <w:ind w:left="130" w:right="38" w:firstLine="170"/>
        <w:jc w:val="both"/>
        <w:rPr>
          <w:color w:val="231F20"/>
          <w:w w:val="105"/>
          <w:lang w:val="id-ID"/>
        </w:rPr>
      </w:pPr>
    </w:p>
    <w:p w:rsidR="00F8377E" w:rsidRDefault="00F8377E" w:rsidP="005A71D3">
      <w:pPr>
        <w:pStyle w:val="BodyText"/>
        <w:spacing w:before="1" w:line="283" w:lineRule="auto"/>
        <w:ind w:left="130" w:right="38" w:firstLine="170"/>
        <w:jc w:val="both"/>
        <w:rPr>
          <w:color w:val="231F20"/>
          <w:w w:val="105"/>
          <w:lang w:val="id-ID"/>
        </w:rPr>
      </w:pPr>
    </w:p>
    <w:p w:rsidR="00F8377E" w:rsidRDefault="00F8377E" w:rsidP="005A71D3">
      <w:pPr>
        <w:pStyle w:val="BodyText"/>
        <w:spacing w:before="1" w:line="283" w:lineRule="auto"/>
        <w:ind w:left="130" w:right="38" w:firstLine="170"/>
        <w:jc w:val="both"/>
        <w:rPr>
          <w:color w:val="231F20"/>
          <w:w w:val="105"/>
          <w:lang w:val="id-ID"/>
        </w:rPr>
      </w:pPr>
    </w:p>
    <w:p w:rsidR="00F8377E" w:rsidRDefault="00F8377E" w:rsidP="005A71D3">
      <w:pPr>
        <w:pStyle w:val="BodyText"/>
        <w:spacing w:before="1" w:line="283" w:lineRule="auto"/>
        <w:ind w:left="130" w:right="38" w:firstLine="170"/>
        <w:jc w:val="both"/>
        <w:rPr>
          <w:color w:val="231F20"/>
          <w:w w:val="105"/>
          <w:lang w:val="id-ID"/>
        </w:rPr>
      </w:pPr>
    </w:p>
    <w:p w:rsidR="00F8377E" w:rsidRDefault="00F8377E" w:rsidP="005A71D3">
      <w:pPr>
        <w:pStyle w:val="BodyText"/>
        <w:spacing w:before="1" w:line="283" w:lineRule="auto"/>
        <w:ind w:left="130" w:right="38" w:firstLine="170"/>
        <w:jc w:val="both"/>
        <w:rPr>
          <w:color w:val="231F20"/>
          <w:w w:val="105"/>
          <w:lang w:val="id-ID"/>
        </w:rPr>
      </w:pPr>
    </w:p>
    <w:p w:rsidR="00F8377E" w:rsidRPr="005A71D3" w:rsidRDefault="00F8377E" w:rsidP="005A71D3">
      <w:pPr>
        <w:pStyle w:val="BodyText"/>
        <w:spacing w:before="1" w:line="283" w:lineRule="auto"/>
        <w:ind w:left="130" w:right="38" w:firstLine="170"/>
        <w:jc w:val="both"/>
        <w:rPr>
          <w:color w:val="231F20"/>
          <w:w w:val="105"/>
          <w:lang w:val="id-ID"/>
        </w:rPr>
      </w:pPr>
    </w:p>
    <w:p w:rsidR="005A71D3" w:rsidRDefault="005A71D3" w:rsidP="005A71D3">
      <w:pPr>
        <w:pStyle w:val="Heading2"/>
        <w:numPr>
          <w:ilvl w:val="1"/>
          <w:numId w:val="5"/>
        </w:numPr>
        <w:tabs>
          <w:tab w:val="left" w:pos="647"/>
        </w:tabs>
        <w:spacing w:before="212"/>
      </w:pPr>
      <w:r w:rsidRPr="005A71D3">
        <w:rPr>
          <w:color w:val="231F20"/>
          <w:w w:val="105"/>
        </w:rPr>
        <w:lastRenderedPageBreak/>
        <w:t>Patterns of Development Theory</w:t>
      </w:r>
    </w:p>
    <w:p w:rsidR="005A71D3" w:rsidRDefault="005A71D3" w:rsidP="005A71D3">
      <w:pPr>
        <w:pStyle w:val="BodyText"/>
        <w:spacing w:before="1" w:line="283" w:lineRule="auto"/>
        <w:ind w:right="38"/>
        <w:jc w:val="both"/>
        <w:rPr>
          <w:color w:val="231F20"/>
          <w:w w:val="105"/>
          <w:lang w:val="id-ID"/>
        </w:rPr>
      </w:pPr>
    </w:p>
    <w:p w:rsidR="005A71D3" w:rsidRPr="005A71D3" w:rsidRDefault="005A71D3" w:rsidP="005A71D3">
      <w:pPr>
        <w:pStyle w:val="BodyText"/>
        <w:spacing w:before="1" w:line="283" w:lineRule="auto"/>
        <w:ind w:left="130" w:right="38" w:firstLine="170"/>
        <w:jc w:val="both"/>
        <w:rPr>
          <w:color w:val="231F20"/>
          <w:w w:val="105"/>
          <w:lang w:val="id-ID"/>
        </w:rPr>
      </w:pPr>
      <w:r w:rsidRPr="005A71D3">
        <w:rPr>
          <w:color w:val="231F20"/>
          <w:w w:val="105"/>
          <w:lang w:val="id-ID"/>
        </w:rPr>
        <w:t>The pattern of development theory focuses on structural shifts in the stages of the process of economic, industrial and institutional change in a gradual manner in a backward economy, thus enabling the emergence of new industries to replace the position of the agricultural sector as a driver of economic growth.</w:t>
      </w:r>
    </w:p>
    <w:p w:rsidR="005A71D3" w:rsidRPr="009A5EF1" w:rsidRDefault="005A71D3" w:rsidP="00A53CCD">
      <w:pPr>
        <w:pStyle w:val="BodyText"/>
        <w:spacing w:before="1" w:line="283" w:lineRule="auto"/>
        <w:ind w:left="130" w:right="38" w:firstLine="170"/>
        <w:jc w:val="both"/>
        <w:rPr>
          <w:color w:val="FF0000"/>
          <w:w w:val="105"/>
        </w:rPr>
      </w:pPr>
      <w:r w:rsidRPr="009A5EF1">
        <w:rPr>
          <w:color w:val="231F20"/>
          <w:w w:val="105"/>
          <w:highlight w:val="yellow"/>
          <w:lang w:val="id-ID"/>
        </w:rPr>
        <w:t>The results of empirical research conducted by Chenery and Syrquin (1975) identified that in line with the increase in income per capita that brought a change in consumer demand patterns from an emphasis on food and other basic necessities to a variety of manufactured goods and service, the accumulation of physical and human capital (human resources), the development of cities, and industries in urban areas together with the migration process of population from rural to urban areas, and a decrease in population growth rates and smaller family sizes, the economic structure of a country shifts from what was originally dominated by the agriculture or mining sector to non-primary sectors, especially industry.</w:t>
      </w:r>
      <w:r w:rsidR="009A5EF1">
        <w:rPr>
          <w:color w:val="FF0000"/>
          <w:w w:val="105"/>
        </w:rPr>
        <w:t>—rephrase/separate into 2 or more sentences</w:t>
      </w:r>
    </w:p>
    <w:p w:rsidR="005A71D3" w:rsidRDefault="005A71D3" w:rsidP="005A71D3">
      <w:pPr>
        <w:pStyle w:val="Heading2"/>
        <w:numPr>
          <w:ilvl w:val="1"/>
          <w:numId w:val="5"/>
        </w:numPr>
        <w:tabs>
          <w:tab w:val="left" w:pos="647"/>
        </w:tabs>
        <w:spacing w:before="212"/>
      </w:pPr>
      <w:r w:rsidRPr="005A71D3">
        <w:rPr>
          <w:color w:val="231F20"/>
          <w:w w:val="105"/>
        </w:rPr>
        <w:t>Export Base Theory</w:t>
      </w:r>
    </w:p>
    <w:p w:rsidR="005A71D3" w:rsidRDefault="005A71D3" w:rsidP="005A71D3">
      <w:pPr>
        <w:pStyle w:val="BodyText"/>
        <w:spacing w:before="5"/>
        <w:rPr>
          <w:b/>
          <w:sz w:val="20"/>
        </w:rPr>
      </w:pPr>
    </w:p>
    <w:p w:rsidR="005A71D3" w:rsidRDefault="005A71D3" w:rsidP="005A71D3">
      <w:pPr>
        <w:pStyle w:val="BodyText"/>
        <w:spacing w:before="1" w:line="283" w:lineRule="auto"/>
        <w:ind w:left="130" w:right="38" w:firstLine="170"/>
        <w:jc w:val="both"/>
        <w:rPr>
          <w:color w:val="231F20"/>
          <w:w w:val="105"/>
          <w:lang w:val="id-ID"/>
        </w:rPr>
      </w:pPr>
      <w:r w:rsidRPr="005A71D3">
        <w:rPr>
          <w:color w:val="231F20"/>
          <w:w w:val="105"/>
          <w:lang w:val="id-ID"/>
        </w:rPr>
        <w:t xml:space="preserve">The </w:t>
      </w:r>
      <w:r w:rsidR="009A5EF1">
        <w:rPr>
          <w:color w:val="FF0000"/>
          <w:w w:val="105"/>
        </w:rPr>
        <w:t>E</w:t>
      </w:r>
      <w:r w:rsidR="00FA233D" w:rsidRPr="005A71D3">
        <w:rPr>
          <w:color w:val="231F20"/>
          <w:w w:val="105"/>
          <w:lang w:val="id-ID"/>
        </w:rPr>
        <w:t xml:space="preserve">xport </w:t>
      </w:r>
      <w:r w:rsidR="009A5EF1">
        <w:rPr>
          <w:color w:val="FF0000"/>
          <w:w w:val="105"/>
        </w:rPr>
        <w:t>B</w:t>
      </w:r>
      <w:r w:rsidR="00FA233D" w:rsidRPr="005A71D3">
        <w:rPr>
          <w:color w:val="231F20"/>
          <w:w w:val="105"/>
          <w:lang w:val="id-ID"/>
        </w:rPr>
        <w:t xml:space="preserve">ase </w:t>
      </w:r>
      <w:r w:rsidR="009A5EF1">
        <w:rPr>
          <w:color w:val="FF0000"/>
          <w:w w:val="105"/>
        </w:rPr>
        <w:t>T</w:t>
      </w:r>
      <w:r w:rsidR="00FA233D" w:rsidRPr="005A71D3">
        <w:rPr>
          <w:color w:val="231F20"/>
          <w:w w:val="105"/>
          <w:lang w:val="id-ID"/>
        </w:rPr>
        <w:t>heory</w:t>
      </w:r>
      <w:r w:rsidR="00FA233D">
        <w:rPr>
          <w:color w:val="231F20"/>
          <w:w w:val="105"/>
          <w:lang w:val="id-ID"/>
        </w:rPr>
        <w:t xml:space="preserve"> </w:t>
      </w:r>
      <w:r>
        <w:rPr>
          <w:color w:val="231F20"/>
          <w:w w:val="105"/>
          <w:lang w:val="id-ID"/>
        </w:rPr>
        <w:t>was pioneered by Douglas (1995</w:t>
      </w:r>
      <w:r w:rsidRPr="005A71D3">
        <w:rPr>
          <w:color w:val="231F20"/>
          <w:w w:val="105"/>
          <w:lang w:val="id-ID"/>
        </w:rPr>
        <w:t>) and l</w:t>
      </w:r>
      <w:r>
        <w:rPr>
          <w:color w:val="231F20"/>
          <w:w w:val="105"/>
          <w:lang w:val="id-ID"/>
        </w:rPr>
        <w:t>ater developed by Tiebout (1956</w:t>
      </w:r>
      <w:r w:rsidRPr="005A71D3">
        <w:rPr>
          <w:color w:val="231F20"/>
          <w:w w:val="105"/>
          <w:lang w:val="id-ID"/>
        </w:rPr>
        <w:t>). This theory divides the production sector or type of work contained in an area on the basis of work (basic) and service work (non-basis). Base activities are exogenous activities</w:t>
      </w:r>
      <w:r w:rsidR="009A5EF1">
        <w:rPr>
          <w:color w:val="FF0000"/>
          <w:w w:val="105"/>
        </w:rPr>
        <w:t>,</w:t>
      </w:r>
      <w:r w:rsidRPr="005A71D3">
        <w:rPr>
          <w:color w:val="231F20"/>
          <w:w w:val="105"/>
          <w:lang w:val="id-ID"/>
        </w:rPr>
        <w:t xml:space="preserve"> which means they are not tied to the internal economic conditions of the region and at the same time function to encourage the growth of other types of work. Meanwhile, non-base activities are activities to meet the needs of the community in the area itself.</w:t>
      </w:r>
    </w:p>
    <w:p w:rsidR="005A71D3" w:rsidRPr="005A71D3" w:rsidRDefault="005A71D3" w:rsidP="005A71D3">
      <w:pPr>
        <w:pStyle w:val="BodyText"/>
        <w:spacing w:before="1" w:line="283" w:lineRule="auto"/>
        <w:ind w:left="130" w:right="38" w:firstLine="170"/>
        <w:jc w:val="both"/>
        <w:rPr>
          <w:color w:val="231F20"/>
          <w:w w:val="105"/>
          <w:lang w:val="id-ID"/>
        </w:rPr>
      </w:pPr>
      <w:r w:rsidRPr="005A71D3">
        <w:rPr>
          <w:color w:val="231F20"/>
          <w:w w:val="105"/>
          <w:lang w:val="id-ID"/>
        </w:rPr>
        <w:t xml:space="preserve">Some points of emphasis in the export base theory model </w:t>
      </w:r>
      <w:r w:rsidRPr="009A5EF1">
        <w:rPr>
          <w:strike/>
          <w:color w:val="FF0000"/>
          <w:w w:val="105"/>
          <w:lang w:val="id-ID"/>
        </w:rPr>
        <w:t>are</w:t>
      </w:r>
      <w:r w:rsidRPr="005A71D3">
        <w:rPr>
          <w:color w:val="231F20"/>
          <w:w w:val="105"/>
          <w:lang w:val="id-ID"/>
        </w:rPr>
        <w:t>, among others</w:t>
      </w:r>
      <w:r w:rsidR="009A5EF1">
        <w:rPr>
          <w:color w:val="FF0000"/>
          <w:w w:val="105"/>
        </w:rPr>
        <w:t>, are the following</w:t>
      </w:r>
      <w:r w:rsidRPr="005A71D3">
        <w:rPr>
          <w:color w:val="231F20"/>
          <w:w w:val="105"/>
          <w:lang w:val="id-ID"/>
        </w:rPr>
        <w:t>:</w:t>
      </w:r>
    </w:p>
    <w:p w:rsidR="005A71D3" w:rsidRDefault="005A71D3" w:rsidP="005A71D3">
      <w:pPr>
        <w:pStyle w:val="BodyText"/>
        <w:numPr>
          <w:ilvl w:val="0"/>
          <w:numId w:val="8"/>
        </w:numPr>
        <w:spacing w:before="1" w:line="283" w:lineRule="auto"/>
        <w:ind w:left="284" w:right="38" w:hanging="142"/>
        <w:jc w:val="both"/>
        <w:rPr>
          <w:color w:val="231F20"/>
          <w:w w:val="105"/>
          <w:lang w:val="id-ID"/>
        </w:rPr>
      </w:pPr>
      <w:r w:rsidRPr="005A71D3">
        <w:rPr>
          <w:color w:val="231F20"/>
          <w:w w:val="105"/>
          <w:lang w:val="id-ID"/>
        </w:rPr>
        <w:t>That an area does not have to be an industrial area to be able to grow quickly, because the determining factor for regional growth is the comparative advantage (location</w:t>
      </w:r>
      <w:r w:rsidR="00427F95">
        <w:rPr>
          <w:color w:val="231F20"/>
          <w:w w:val="105"/>
          <w:lang w:val="id-ID"/>
        </w:rPr>
        <w:t xml:space="preserve"> advantage) that the region has.</w:t>
      </w:r>
    </w:p>
    <w:p w:rsidR="005A71D3" w:rsidRDefault="005A71D3" w:rsidP="005A71D3">
      <w:pPr>
        <w:pStyle w:val="BodyText"/>
        <w:numPr>
          <w:ilvl w:val="0"/>
          <w:numId w:val="8"/>
        </w:numPr>
        <w:spacing w:before="1" w:line="283" w:lineRule="auto"/>
        <w:ind w:left="284" w:right="38" w:hanging="142"/>
        <w:jc w:val="both"/>
        <w:rPr>
          <w:color w:val="231F20"/>
          <w:w w:val="105"/>
          <w:lang w:val="id-ID"/>
        </w:rPr>
      </w:pPr>
      <w:r w:rsidRPr="005A71D3">
        <w:rPr>
          <w:color w:val="231F20"/>
          <w:w w:val="105"/>
          <w:lang w:val="id-ID"/>
        </w:rPr>
        <w:t xml:space="preserve">The economic growth of a region will be maximized if the region concerned utilizes the comparative advantage it possesses into </w:t>
      </w:r>
      <w:r w:rsidR="00427F95">
        <w:rPr>
          <w:color w:val="231F20"/>
          <w:w w:val="105"/>
          <w:lang w:val="id-ID"/>
        </w:rPr>
        <w:t>the strength of its export base.</w:t>
      </w:r>
    </w:p>
    <w:p w:rsidR="005A71D3" w:rsidRDefault="005A71D3" w:rsidP="005A71D3">
      <w:pPr>
        <w:pStyle w:val="BodyText"/>
        <w:numPr>
          <w:ilvl w:val="0"/>
          <w:numId w:val="8"/>
        </w:numPr>
        <w:spacing w:before="1" w:line="283" w:lineRule="auto"/>
        <w:ind w:left="284" w:right="38" w:hanging="142"/>
        <w:jc w:val="both"/>
        <w:rPr>
          <w:color w:val="231F20"/>
          <w:w w:val="105"/>
          <w:lang w:val="id-ID"/>
        </w:rPr>
      </w:pPr>
      <w:r w:rsidRPr="005A71D3">
        <w:rPr>
          <w:color w:val="231F20"/>
          <w:w w:val="105"/>
          <w:lang w:val="id-ID"/>
        </w:rPr>
        <w:t>Inequality between regions remains very large influenced by variations in the potential of each region.</w:t>
      </w:r>
    </w:p>
    <w:p w:rsidR="00FA20C9" w:rsidRDefault="00FA20C9" w:rsidP="00FA20C9">
      <w:pPr>
        <w:pStyle w:val="BodyText"/>
        <w:spacing w:before="1" w:line="283" w:lineRule="auto"/>
        <w:ind w:right="38"/>
        <w:jc w:val="both"/>
        <w:rPr>
          <w:color w:val="231F20"/>
          <w:w w:val="105"/>
          <w:lang w:val="id-ID"/>
        </w:rPr>
      </w:pPr>
    </w:p>
    <w:p w:rsidR="00FA20C9" w:rsidRDefault="00FA20C9" w:rsidP="00FA20C9">
      <w:pPr>
        <w:pStyle w:val="BodyText"/>
        <w:spacing w:before="1" w:line="283" w:lineRule="auto"/>
        <w:ind w:right="38"/>
        <w:jc w:val="both"/>
        <w:rPr>
          <w:color w:val="231F20"/>
          <w:w w:val="105"/>
          <w:lang w:val="id-ID"/>
        </w:rPr>
      </w:pPr>
    </w:p>
    <w:p w:rsidR="00FA20C9" w:rsidRDefault="00FA20C9" w:rsidP="00FA20C9">
      <w:pPr>
        <w:pStyle w:val="Heading1"/>
        <w:numPr>
          <w:ilvl w:val="0"/>
          <w:numId w:val="5"/>
        </w:numPr>
        <w:tabs>
          <w:tab w:val="left" w:pos="392"/>
        </w:tabs>
        <w:spacing w:before="1"/>
      </w:pPr>
      <w:r>
        <w:rPr>
          <w:color w:val="231F20"/>
        </w:rPr>
        <w:t>Methodology</w:t>
      </w:r>
    </w:p>
    <w:p w:rsidR="00FA20C9" w:rsidRDefault="00FA20C9" w:rsidP="00FA20C9">
      <w:pPr>
        <w:pStyle w:val="Heading2"/>
        <w:numPr>
          <w:ilvl w:val="1"/>
          <w:numId w:val="5"/>
        </w:numPr>
        <w:tabs>
          <w:tab w:val="left" w:pos="647"/>
        </w:tabs>
        <w:spacing w:before="212"/>
        <w:ind w:hanging="379"/>
      </w:pPr>
      <w:r>
        <w:rPr>
          <w:color w:val="231F20"/>
          <w:w w:val="105"/>
        </w:rPr>
        <w:t>Research</w:t>
      </w:r>
      <w:r w:rsidR="00122C1D">
        <w:rPr>
          <w:color w:val="231F20"/>
          <w:w w:val="105"/>
          <w:lang w:val="id-ID"/>
        </w:rPr>
        <w:t xml:space="preserve"> Design</w:t>
      </w:r>
    </w:p>
    <w:p w:rsidR="00FA20C9" w:rsidRDefault="00FA20C9" w:rsidP="00FA20C9">
      <w:pPr>
        <w:pStyle w:val="BodyText"/>
        <w:spacing w:before="10"/>
        <w:rPr>
          <w:b/>
          <w:sz w:val="18"/>
        </w:rPr>
      </w:pPr>
    </w:p>
    <w:p w:rsidR="00122C1D" w:rsidRDefault="00122C1D" w:rsidP="00122C1D">
      <w:pPr>
        <w:pStyle w:val="BodyText"/>
        <w:spacing w:before="1" w:line="283" w:lineRule="auto"/>
        <w:ind w:left="130" w:right="87" w:firstLine="170"/>
        <w:jc w:val="both"/>
        <w:rPr>
          <w:color w:val="231F20"/>
          <w:w w:val="105"/>
          <w:lang w:val="id-ID"/>
        </w:rPr>
      </w:pPr>
      <w:r w:rsidRPr="00122C1D">
        <w:rPr>
          <w:color w:val="231F20"/>
          <w:w w:val="105"/>
          <w:lang w:val="id-ID"/>
        </w:rPr>
        <w:t xml:space="preserve">Research </w:t>
      </w:r>
      <w:r>
        <w:rPr>
          <w:color w:val="231F20"/>
          <w:w w:val="105"/>
          <w:lang w:val="id-ID"/>
        </w:rPr>
        <w:t>framework</w:t>
      </w:r>
      <w:r w:rsidRPr="00122C1D">
        <w:rPr>
          <w:color w:val="231F20"/>
          <w:w w:val="105"/>
          <w:lang w:val="id-ID"/>
        </w:rPr>
        <w:t xml:space="preserve"> is essentially a description of ways </w:t>
      </w:r>
      <w:r w:rsidR="009A5EF1">
        <w:rPr>
          <w:color w:val="FF0000"/>
          <w:w w:val="105"/>
        </w:rPr>
        <w:t xml:space="preserve">in which </w:t>
      </w:r>
      <w:r w:rsidRPr="00122C1D">
        <w:rPr>
          <w:color w:val="231F20"/>
          <w:w w:val="105"/>
          <w:lang w:val="id-ID"/>
        </w:rPr>
        <w:t xml:space="preserve">a researcher </w:t>
      </w:r>
      <w:r w:rsidR="009A5EF1">
        <w:rPr>
          <w:color w:val="FF0000"/>
          <w:w w:val="105"/>
        </w:rPr>
        <w:t xml:space="preserve">is </w:t>
      </w:r>
      <w:r w:rsidRPr="00122C1D">
        <w:rPr>
          <w:color w:val="231F20"/>
          <w:w w:val="105"/>
          <w:lang w:val="id-ID"/>
        </w:rPr>
        <w:t>to meet the objectives of the study</w:t>
      </w:r>
      <w:r w:rsidR="009A5EF1">
        <w:rPr>
          <w:color w:val="FF0000"/>
          <w:w w:val="105"/>
        </w:rPr>
        <w:t>.</w:t>
      </w:r>
      <w:r w:rsidRPr="00122C1D">
        <w:rPr>
          <w:color w:val="231F20"/>
          <w:w w:val="105"/>
          <w:lang w:val="id-ID"/>
        </w:rPr>
        <w:t xml:space="preserve"> </w:t>
      </w:r>
      <w:r w:rsidRPr="009A5EF1">
        <w:rPr>
          <w:strike/>
          <w:color w:val="FF0000"/>
          <w:w w:val="105"/>
          <w:lang w:val="id-ID"/>
        </w:rPr>
        <w:t>set or</w:t>
      </w:r>
      <w:r w:rsidRPr="009A5EF1">
        <w:rPr>
          <w:color w:val="FF0000"/>
          <w:w w:val="105"/>
          <w:lang w:val="id-ID"/>
        </w:rPr>
        <w:t xml:space="preserve"> </w:t>
      </w:r>
      <w:r w:rsidR="009A5EF1">
        <w:rPr>
          <w:color w:val="FF0000"/>
          <w:w w:val="105"/>
        </w:rPr>
        <w:t xml:space="preserve"> I</w:t>
      </w:r>
      <w:r w:rsidRPr="009A5EF1">
        <w:rPr>
          <w:color w:val="FF0000"/>
          <w:w w:val="105"/>
          <w:lang w:val="id-ID"/>
        </w:rPr>
        <w:t>n</w:t>
      </w:r>
      <w:r w:rsidRPr="00122C1D">
        <w:rPr>
          <w:color w:val="231F20"/>
          <w:w w:val="105"/>
          <w:lang w:val="id-ID"/>
        </w:rPr>
        <w:t xml:space="preserve"> other words</w:t>
      </w:r>
      <w:r w:rsidR="009A5EF1">
        <w:rPr>
          <w:color w:val="FF0000"/>
          <w:w w:val="105"/>
        </w:rPr>
        <w:t>,</w:t>
      </w:r>
      <w:r w:rsidRPr="00122C1D">
        <w:rPr>
          <w:color w:val="231F20"/>
          <w:w w:val="105"/>
          <w:lang w:val="id-ID"/>
        </w:rPr>
        <w:t xml:space="preserve"> research design is a logical plan to test hypotheses, </w:t>
      </w:r>
      <w:r w:rsidRPr="009A5EF1">
        <w:rPr>
          <w:color w:val="231F20"/>
          <w:w w:val="105"/>
          <w:highlight w:val="yellow"/>
          <w:lang w:val="id-ID"/>
        </w:rPr>
        <w:t>so that by looking at the research design can be known direction, research objectives, to the type and type of research</w:t>
      </w:r>
      <w:r w:rsidR="009A5EF1">
        <w:rPr>
          <w:color w:val="FF0000"/>
          <w:w w:val="105"/>
        </w:rPr>
        <w:t>-- rephrase</w:t>
      </w:r>
      <w:r>
        <w:rPr>
          <w:color w:val="231F20"/>
          <w:w w:val="105"/>
          <w:lang w:val="id-ID"/>
        </w:rPr>
        <w:t xml:space="preserve"> (Nur, 2010</w:t>
      </w:r>
      <w:r w:rsidRPr="00122C1D">
        <w:rPr>
          <w:color w:val="231F20"/>
          <w:w w:val="105"/>
          <w:lang w:val="id-ID"/>
        </w:rPr>
        <w:t>).</w:t>
      </w:r>
    </w:p>
    <w:p w:rsidR="00F8377E" w:rsidRDefault="00F8377E" w:rsidP="00122C1D">
      <w:pPr>
        <w:pStyle w:val="BodyText"/>
        <w:spacing w:before="1" w:line="283" w:lineRule="auto"/>
        <w:ind w:left="130" w:right="87" w:firstLine="170"/>
        <w:jc w:val="both"/>
        <w:rPr>
          <w:color w:val="231F20"/>
          <w:w w:val="105"/>
          <w:lang w:val="id-ID"/>
        </w:rPr>
      </w:pPr>
    </w:p>
    <w:p w:rsidR="00F8377E" w:rsidRDefault="00F8377E" w:rsidP="00122C1D">
      <w:pPr>
        <w:pStyle w:val="BodyText"/>
        <w:spacing w:before="1" w:line="283" w:lineRule="auto"/>
        <w:ind w:left="130" w:right="87" w:firstLine="170"/>
        <w:jc w:val="both"/>
        <w:rPr>
          <w:color w:val="231F20"/>
          <w:w w:val="105"/>
          <w:lang w:val="id-ID"/>
        </w:rPr>
      </w:pPr>
    </w:p>
    <w:p w:rsidR="00122C1D" w:rsidRDefault="00122C1D" w:rsidP="00122C1D">
      <w:pPr>
        <w:pStyle w:val="Heading2"/>
        <w:numPr>
          <w:ilvl w:val="1"/>
          <w:numId w:val="5"/>
        </w:numPr>
        <w:tabs>
          <w:tab w:val="left" w:pos="647"/>
        </w:tabs>
        <w:spacing w:before="212"/>
      </w:pPr>
      <w:r>
        <w:rPr>
          <w:color w:val="231F20"/>
          <w:w w:val="105"/>
          <w:lang w:val="id-ID"/>
        </w:rPr>
        <w:t>Data Type and Source</w:t>
      </w:r>
    </w:p>
    <w:p w:rsidR="00122C1D" w:rsidRDefault="00122C1D" w:rsidP="00122C1D">
      <w:pPr>
        <w:pStyle w:val="BodyText"/>
        <w:spacing w:before="1" w:line="283" w:lineRule="auto"/>
        <w:ind w:right="87"/>
        <w:jc w:val="both"/>
        <w:rPr>
          <w:color w:val="231F20"/>
          <w:w w:val="105"/>
          <w:lang w:val="id-ID"/>
        </w:rPr>
      </w:pPr>
    </w:p>
    <w:p w:rsidR="00A53CCD" w:rsidRDefault="00122C1D" w:rsidP="00F8377E">
      <w:pPr>
        <w:pStyle w:val="BodyText"/>
        <w:spacing w:before="1" w:line="283" w:lineRule="auto"/>
        <w:ind w:left="130" w:right="87" w:firstLine="170"/>
        <w:jc w:val="both"/>
        <w:rPr>
          <w:color w:val="231F20"/>
          <w:w w:val="105"/>
          <w:lang w:val="id-ID"/>
        </w:rPr>
      </w:pPr>
      <w:r w:rsidRPr="00122C1D">
        <w:rPr>
          <w:color w:val="231F20"/>
          <w:w w:val="105"/>
          <w:lang w:val="id-ID"/>
        </w:rPr>
        <w:t xml:space="preserve">This type of research is quantitative descriptive research conducted to describe a variable independently, either one or more variables without making comparisons or connecting variables with other </w:t>
      </w:r>
      <w:r>
        <w:rPr>
          <w:color w:val="231F20"/>
          <w:w w:val="105"/>
          <w:lang w:val="id-ID"/>
        </w:rPr>
        <w:t>variables (Marzuki, 1999</w:t>
      </w:r>
      <w:r w:rsidR="00F8377E">
        <w:rPr>
          <w:color w:val="231F20"/>
          <w:w w:val="105"/>
          <w:lang w:val="id-ID"/>
        </w:rPr>
        <w:t>).</w:t>
      </w:r>
    </w:p>
    <w:p w:rsidR="00122C1D" w:rsidRDefault="00122C1D" w:rsidP="00122C1D">
      <w:pPr>
        <w:pStyle w:val="BodyText"/>
        <w:spacing w:before="1" w:line="283" w:lineRule="auto"/>
        <w:ind w:left="130" w:right="87" w:firstLine="170"/>
        <w:jc w:val="both"/>
        <w:rPr>
          <w:color w:val="231F20"/>
          <w:w w:val="105"/>
          <w:lang w:val="id-ID"/>
        </w:rPr>
      </w:pPr>
      <w:r w:rsidRPr="00122C1D">
        <w:rPr>
          <w:color w:val="231F20"/>
          <w:w w:val="105"/>
          <w:lang w:val="id-ID"/>
        </w:rPr>
        <w:t>In conducting studies, the data needed is secondary data. This secondary data can be in the form of journals, papers or research results that have been</w:t>
      </w:r>
      <w:r>
        <w:rPr>
          <w:color w:val="231F20"/>
          <w:w w:val="105"/>
          <w:lang w:val="id-ID"/>
        </w:rPr>
        <w:t xml:space="preserve"> done before (Kuncoro, 2003</w:t>
      </w:r>
      <w:r w:rsidRPr="00122C1D">
        <w:rPr>
          <w:color w:val="231F20"/>
          <w:w w:val="105"/>
          <w:lang w:val="id-ID"/>
        </w:rPr>
        <w:t>). This data is also in the form of reports or publications from Government Agencies, namely</w:t>
      </w:r>
      <w:r w:rsidRPr="009A5EF1">
        <w:rPr>
          <w:strike/>
          <w:color w:val="FF0000"/>
          <w:w w:val="105"/>
          <w:lang w:val="id-ID"/>
        </w:rPr>
        <w:t xml:space="preserve">: </w:t>
      </w:r>
      <w:r w:rsidR="009A5EF1">
        <w:rPr>
          <w:color w:val="FF0000"/>
          <w:w w:val="105"/>
        </w:rPr>
        <w:t xml:space="preserve">, </w:t>
      </w:r>
      <w:r w:rsidRPr="00122C1D">
        <w:rPr>
          <w:color w:val="231F20"/>
          <w:w w:val="105"/>
          <w:lang w:val="id-ID"/>
        </w:rPr>
        <w:t>Central Statistics Agency, Regional Planning and Development Agency, Malinau Regency and North Kalimantan Province.</w:t>
      </w:r>
    </w:p>
    <w:p w:rsidR="00122C1D" w:rsidRDefault="00122C1D" w:rsidP="00122C1D">
      <w:pPr>
        <w:pStyle w:val="Heading2"/>
        <w:numPr>
          <w:ilvl w:val="1"/>
          <w:numId w:val="5"/>
        </w:numPr>
        <w:tabs>
          <w:tab w:val="left" w:pos="647"/>
        </w:tabs>
        <w:spacing w:before="212"/>
      </w:pPr>
      <w:r w:rsidRPr="00122C1D">
        <w:rPr>
          <w:color w:val="231F20"/>
          <w:w w:val="105"/>
          <w:lang w:val="id-ID"/>
        </w:rPr>
        <w:t>Data Collection Technique</w:t>
      </w:r>
    </w:p>
    <w:p w:rsidR="00122C1D" w:rsidRDefault="00122C1D" w:rsidP="00122C1D">
      <w:pPr>
        <w:pStyle w:val="BodyText"/>
        <w:spacing w:before="1" w:line="283" w:lineRule="auto"/>
        <w:ind w:right="87"/>
        <w:jc w:val="both"/>
        <w:rPr>
          <w:color w:val="231F20"/>
          <w:w w:val="105"/>
          <w:lang w:val="id-ID"/>
        </w:rPr>
      </w:pPr>
    </w:p>
    <w:p w:rsidR="00122C1D" w:rsidRPr="009A5EF1" w:rsidRDefault="00122C1D" w:rsidP="00A53CCD">
      <w:pPr>
        <w:pStyle w:val="BodyText"/>
        <w:spacing w:before="1" w:line="283" w:lineRule="auto"/>
        <w:ind w:left="130" w:right="87" w:firstLine="170"/>
        <w:jc w:val="both"/>
        <w:rPr>
          <w:color w:val="FF0000"/>
          <w:w w:val="105"/>
        </w:rPr>
      </w:pPr>
      <w:r w:rsidRPr="00122C1D">
        <w:rPr>
          <w:color w:val="231F20"/>
          <w:w w:val="105"/>
          <w:lang w:val="id-ID"/>
        </w:rPr>
        <w:t xml:space="preserve">Because the data needed in this study is secondary data, the collection technique is in the form of library research. </w:t>
      </w:r>
      <w:r w:rsidRPr="009A5EF1">
        <w:rPr>
          <w:color w:val="231F20"/>
          <w:w w:val="105"/>
          <w:highlight w:val="yellow"/>
          <w:lang w:val="id-ID"/>
        </w:rPr>
        <w:t>Data collected through reading and recording data, reports, theories that have a relationship with the problem that will be discussed in research.</w:t>
      </w:r>
      <w:r w:rsidR="009A5EF1">
        <w:rPr>
          <w:color w:val="FF0000"/>
          <w:w w:val="105"/>
        </w:rPr>
        <w:t>--rephrase</w:t>
      </w:r>
    </w:p>
    <w:p w:rsidR="00122C1D" w:rsidRDefault="00F83E27" w:rsidP="00F83E27">
      <w:pPr>
        <w:pStyle w:val="Heading2"/>
        <w:numPr>
          <w:ilvl w:val="1"/>
          <w:numId w:val="5"/>
        </w:numPr>
        <w:tabs>
          <w:tab w:val="left" w:pos="647"/>
        </w:tabs>
        <w:spacing w:before="212"/>
      </w:pPr>
      <w:r w:rsidRPr="00F83E27">
        <w:rPr>
          <w:color w:val="231F20"/>
          <w:w w:val="105"/>
          <w:lang w:val="id-ID"/>
        </w:rPr>
        <w:t>Analysis Model</w:t>
      </w:r>
    </w:p>
    <w:p w:rsidR="00122C1D" w:rsidRDefault="00122C1D" w:rsidP="00122C1D">
      <w:pPr>
        <w:pStyle w:val="BodyText"/>
        <w:spacing w:before="1" w:line="283" w:lineRule="auto"/>
        <w:ind w:right="87"/>
        <w:jc w:val="both"/>
        <w:rPr>
          <w:color w:val="231F20"/>
          <w:w w:val="105"/>
          <w:lang w:val="id-ID"/>
        </w:rPr>
      </w:pPr>
    </w:p>
    <w:p w:rsidR="00C04DEA" w:rsidRDefault="00C04DEA" w:rsidP="00C04DEA">
      <w:pPr>
        <w:pStyle w:val="BodyText"/>
        <w:spacing w:line="283" w:lineRule="auto"/>
        <w:ind w:left="130" w:right="87" w:firstLine="170"/>
        <w:jc w:val="both"/>
        <w:rPr>
          <w:color w:val="231F20"/>
          <w:w w:val="105"/>
          <w:lang w:val="id-ID"/>
        </w:rPr>
      </w:pPr>
      <w:r w:rsidRPr="00C04DEA">
        <w:rPr>
          <w:color w:val="231F20"/>
          <w:w w:val="105"/>
          <w:lang w:val="id-ID"/>
        </w:rPr>
        <w:t xml:space="preserve">The Location Quotient (LQ) method is used to determine whether economic sectors or sub-sectors are considered superior or non-featured activities. </w:t>
      </w:r>
      <w:r w:rsidR="00A9332E">
        <w:rPr>
          <w:color w:val="231F20"/>
          <w:w w:val="105"/>
          <w:lang w:val="id-ID"/>
        </w:rPr>
        <w:t>The formula of LQ according to Tarigan (</w:t>
      </w:r>
      <w:r w:rsidRPr="00C04DEA">
        <w:rPr>
          <w:color w:val="231F20"/>
          <w:w w:val="105"/>
          <w:lang w:val="id-ID"/>
        </w:rPr>
        <w:t>2007) is:</w:t>
      </w:r>
    </w:p>
    <w:p w:rsidR="00C04DEA" w:rsidRPr="00C04DEA" w:rsidRDefault="00C04DEA" w:rsidP="00C04DEA">
      <w:pPr>
        <w:pStyle w:val="BodyText"/>
        <w:spacing w:line="283" w:lineRule="auto"/>
        <w:ind w:left="130" w:right="87" w:firstLine="170"/>
        <w:jc w:val="both"/>
        <w:rPr>
          <w:color w:val="231F20"/>
          <w:w w:val="105"/>
          <w:lang w:val="id-ID"/>
        </w:rPr>
      </w:pPr>
    </w:p>
    <w:p w:rsidR="00C04DEA" w:rsidRDefault="00C04DEA" w:rsidP="00C04DEA">
      <w:pPr>
        <w:widowControl/>
        <w:autoSpaceDE/>
        <w:autoSpaceDN/>
        <w:spacing w:line="480" w:lineRule="auto"/>
        <w:ind w:left="284"/>
        <w:contextualSpacing/>
        <w:rPr>
          <w:rFonts w:eastAsiaTheme="minorHAnsi"/>
          <w:sz w:val="17"/>
          <w:szCs w:val="17"/>
          <w:lang w:val="id-ID"/>
        </w:rPr>
      </w:pPr>
      <w:r w:rsidRPr="00C04DEA">
        <w:rPr>
          <w:rFonts w:eastAsiaTheme="minorHAnsi"/>
          <w:i/>
          <w:sz w:val="17"/>
          <w:szCs w:val="17"/>
          <w:lang w:val="nb-NO"/>
        </w:rPr>
        <w:t>LQ</w:t>
      </w:r>
      <w:r w:rsidRPr="00C04DEA">
        <w:rPr>
          <w:rFonts w:eastAsiaTheme="minorHAnsi"/>
          <w:i/>
          <w:sz w:val="17"/>
          <w:szCs w:val="17"/>
          <w:lang w:val="id-ID"/>
        </w:rPr>
        <w:t xml:space="preserve"> </w:t>
      </w:r>
      <w:r w:rsidRPr="00C04DEA">
        <w:rPr>
          <w:rFonts w:eastAsiaTheme="minorHAnsi"/>
          <w:i/>
          <w:sz w:val="17"/>
          <w:szCs w:val="17"/>
          <w:lang w:val="nb-NO"/>
        </w:rPr>
        <w:t>:</w:t>
      </w:r>
      <w:r w:rsidR="004819A3">
        <w:rPr>
          <w:rFonts w:eastAsiaTheme="minorHAnsi"/>
          <w:position w:val="-30"/>
          <w:sz w:val="17"/>
          <w:szCs w:val="17"/>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4.75pt">
            <v:imagedata r:id="rId10" o:title=""/>
          </v:shape>
        </w:pict>
      </w:r>
      <w:r w:rsidRPr="00C04DEA">
        <w:rPr>
          <w:rFonts w:eastAsiaTheme="minorHAnsi"/>
          <w:sz w:val="17"/>
          <w:szCs w:val="17"/>
        </w:rPr>
        <w:t xml:space="preserve"> </w:t>
      </w:r>
      <w:r>
        <w:rPr>
          <w:rFonts w:eastAsiaTheme="minorHAnsi"/>
          <w:sz w:val="17"/>
          <w:szCs w:val="17"/>
          <w:lang w:val="id-ID"/>
        </w:rPr>
        <w:t xml:space="preserve"> </w:t>
      </w:r>
      <w:r>
        <w:rPr>
          <w:rFonts w:eastAsiaTheme="minorHAnsi"/>
          <w:sz w:val="17"/>
          <w:szCs w:val="17"/>
          <w:lang w:val="id-ID"/>
        </w:rPr>
        <w:tab/>
      </w:r>
      <w:r>
        <w:rPr>
          <w:rFonts w:eastAsiaTheme="minorHAnsi"/>
          <w:sz w:val="17"/>
          <w:szCs w:val="17"/>
          <w:lang w:val="id-ID"/>
        </w:rPr>
        <w:tab/>
      </w:r>
      <w:r>
        <w:rPr>
          <w:rFonts w:eastAsiaTheme="minorHAnsi"/>
          <w:sz w:val="17"/>
          <w:szCs w:val="17"/>
          <w:lang w:val="id-ID"/>
        </w:rPr>
        <w:tab/>
      </w:r>
      <w:r>
        <w:rPr>
          <w:rFonts w:eastAsiaTheme="minorHAnsi"/>
          <w:sz w:val="17"/>
          <w:szCs w:val="17"/>
          <w:lang w:val="id-ID"/>
        </w:rPr>
        <w:tab/>
      </w:r>
      <w:r>
        <w:rPr>
          <w:rFonts w:eastAsiaTheme="minorHAnsi"/>
          <w:sz w:val="17"/>
          <w:szCs w:val="17"/>
          <w:lang w:val="id-ID"/>
        </w:rPr>
        <w:tab/>
        <w:t>(1)</w:t>
      </w:r>
    </w:p>
    <w:p w:rsidR="00880458" w:rsidRDefault="00880458" w:rsidP="00880458">
      <w:pPr>
        <w:pStyle w:val="BodyText"/>
        <w:spacing w:line="283" w:lineRule="auto"/>
        <w:ind w:left="130" w:right="38" w:firstLine="12"/>
        <w:jc w:val="both"/>
        <w:rPr>
          <w:color w:val="231F20"/>
          <w:w w:val="105"/>
          <w:lang w:val="id-ID"/>
        </w:rPr>
      </w:pPr>
      <w:r w:rsidRPr="00880458">
        <w:rPr>
          <w:color w:val="231F20"/>
          <w:w w:val="105"/>
          <w:lang w:val="id-ID"/>
        </w:rPr>
        <w:t>w</w:t>
      </w:r>
      <w:r w:rsidR="00C04DEA" w:rsidRPr="00880458">
        <w:rPr>
          <w:color w:val="231F20"/>
          <w:w w:val="105"/>
          <w:lang w:val="id-ID"/>
        </w:rPr>
        <w:t>here, LQ</w:t>
      </w:r>
      <w:r w:rsidR="00094EF0">
        <w:rPr>
          <w:color w:val="231F20"/>
          <w:w w:val="105"/>
          <w:lang w:val="id-ID"/>
        </w:rPr>
        <w:t xml:space="preserve"> </w:t>
      </w:r>
      <w:r w:rsidR="001B4D9F">
        <w:rPr>
          <w:color w:val="231F20"/>
          <w:w w:val="105"/>
          <w:lang w:val="id-ID"/>
        </w:rPr>
        <w:t>is</w:t>
      </w:r>
      <w:r w:rsidR="00C04DEA" w:rsidRPr="00880458">
        <w:rPr>
          <w:color w:val="231F20"/>
          <w:w w:val="105"/>
          <w:lang w:val="id-ID"/>
        </w:rPr>
        <w:t xml:space="preserve"> comparison between sector or sub-sector market share (i) in Malinau Regency and sector (i) in North Kalimantan Province; X</w:t>
      </w:r>
      <w:r w:rsidR="00C04DEA" w:rsidRPr="00880458">
        <w:rPr>
          <w:color w:val="231F20"/>
          <w:w w:val="105"/>
          <w:vertAlign w:val="subscript"/>
          <w:lang w:val="id-ID"/>
        </w:rPr>
        <w:t>in</w:t>
      </w:r>
      <w:r w:rsidR="00094EF0">
        <w:rPr>
          <w:color w:val="231F20"/>
          <w:w w:val="105"/>
          <w:vertAlign w:val="subscript"/>
          <w:lang w:val="id-ID"/>
        </w:rPr>
        <w:t xml:space="preserve"> </w:t>
      </w:r>
      <w:r w:rsidR="001B4D9F">
        <w:rPr>
          <w:color w:val="231F20"/>
          <w:w w:val="105"/>
          <w:lang w:val="id-ID"/>
        </w:rPr>
        <w:t>is</w:t>
      </w:r>
      <w:r w:rsidR="00C04DEA" w:rsidRPr="00880458">
        <w:rPr>
          <w:color w:val="231F20"/>
          <w:w w:val="105"/>
          <w:lang w:val="id-ID"/>
        </w:rPr>
        <w:t xml:space="preserve"> GRDP value of the sector or sub-sector (i) in Malinau Regency; X</w:t>
      </w:r>
      <w:r w:rsidR="00C04DEA" w:rsidRPr="00880458">
        <w:rPr>
          <w:color w:val="231F20"/>
          <w:w w:val="105"/>
          <w:vertAlign w:val="subscript"/>
          <w:lang w:val="id-ID"/>
        </w:rPr>
        <w:t>i</w:t>
      </w:r>
      <w:r w:rsidR="00094EF0">
        <w:rPr>
          <w:color w:val="231F20"/>
          <w:w w:val="105"/>
          <w:vertAlign w:val="subscript"/>
          <w:lang w:val="id-ID"/>
        </w:rPr>
        <w:t xml:space="preserve"> </w:t>
      </w:r>
      <w:r w:rsidR="001B4D9F">
        <w:rPr>
          <w:color w:val="231F20"/>
          <w:w w:val="105"/>
          <w:lang w:val="id-ID"/>
        </w:rPr>
        <w:t>is</w:t>
      </w:r>
      <w:r w:rsidR="00C04DEA" w:rsidRPr="00880458">
        <w:rPr>
          <w:color w:val="231F20"/>
          <w:w w:val="105"/>
          <w:lang w:val="id-ID"/>
        </w:rPr>
        <w:t xml:space="preserve"> value of sectoral or sub-sector GRDP (i) in North Kalimantan Province; Y</w:t>
      </w:r>
      <w:r w:rsidR="00C04DEA" w:rsidRPr="00880458">
        <w:rPr>
          <w:color w:val="231F20"/>
          <w:w w:val="105"/>
          <w:vertAlign w:val="subscript"/>
          <w:lang w:val="id-ID"/>
        </w:rPr>
        <w:t>n</w:t>
      </w:r>
      <w:r w:rsidR="00094EF0">
        <w:rPr>
          <w:color w:val="231F20"/>
          <w:w w:val="105"/>
          <w:vertAlign w:val="subscript"/>
          <w:lang w:val="id-ID"/>
        </w:rPr>
        <w:t xml:space="preserve"> </w:t>
      </w:r>
      <w:r w:rsidR="001B4D9F">
        <w:rPr>
          <w:color w:val="231F20"/>
          <w:w w:val="105"/>
          <w:lang w:val="id-ID"/>
        </w:rPr>
        <w:t>is</w:t>
      </w:r>
      <w:r w:rsidR="00C04DEA" w:rsidRPr="00880458">
        <w:rPr>
          <w:color w:val="231F20"/>
          <w:w w:val="105"/>
          <w:lang w:val="id-ID"/>
        </w:rPr>
        <w:t xml:space="preserve"> total GRDP </w:t>
      </w:r>
      <w:r w:rsidR="001B4D9F">
        <w:rPr>
          <w:color w:val="231F20"/>
          <w:w w:val="105"/>
          <w:lang w:val="id-ID"/>
        </w:rPr>
        <w:t>value in Malinau Regency; and Y is</w:t>
      </w:r>
      <w:r w:rsidR="00C04DEA" w:rsidRPr="00880458">
        <w:rPr>
          <w:color w:val="231F20"/>
          <w:w w:val="105"/>
          <w:lang w:val="id-ID"/>
        </w:rPr>
        <w:t xml:space="preserve"> total GRDP value in North Kalimantan Province.</w:t>
      </w:r>
    </w:p>
    <w:p w:rsidR="00C04DEA" w:rsidRDefault="003F4DB3" w:rsidP="003F4DB3">
      <w:pPr>
        <w:pStyle w:val="BodyText"/>
        <w:spacing w:line="283" w:lineRule="auto"/>
        <w:ind w:left="130" w:right="38" w:firstLine="154"/>
        <w:jc w:val="both"/>
        <w:rPr>
          <w:color w:val="231F20"/>
          <w:w w:val="105"/>
          <w:lang w:val="id-ID"/>
        </w:rPr>
      </w:pPr>
      <w:r w:rsidRPr="00880458">
        <w:rPr>
          <w:color w:val="231F20"/>
          <w:w w:val="105"/>
          <w:lang w:val="id-ID"/>
        </w:rPr>
        <w:t>The range of LQ values ​​is LQ&gt; 1, meaning</w:t>
      </w:r>
      <w:r w:rsidR="002D0BCA">
        <w:rPr>
          <w:color w:val="FF0000"/>
          <w:w w:val="105"/>
        </w:rPr>
        <w:t>,</w:t>
      </w:r>
      <w:r w:rsidRPr="00880458">
        <w:rPr>
          <w:color w:val="231F20"/>
          <w:w w:val="105"/>
          <w:lang w:val="id-ID"/>
        </w:rPr>
        <w:t xml:space="preserve"> the sector or sub-sector (i) is categorized as a leading sector that is able to export its products to other regions. LQ &lt;1</w:t>
      </w:r>
      <w:r w:rsidRPr="002D0BCA">
        <w:rPr>
          <w:strike/>
          <w:color w:val="FF0000"/>
          <w:w w:val="105"/>
          <w:lang w:val="id-ID"/>
        </w:rPr>
        <w:t>, meaning</w:t>
      </w:r>
      <w:r w:rsidRPr="002D0BCA">
        <w:rPr>
          <w:color w:val="231F20"/>
          <w:w w:val="105"/>
          <w:lang w:val="id-ID"/>
        </w:rPr>
        <w:t xml:space="preserve"> </w:t>
      </w:r>
      <w:r w:rsidR="002D0BCA">
        <w:rPr>
          <w:color w:val="FF0000"/>
          <w:w w:val="105"/>
        </w:rPr>
        <w:t xml:space="preserve">means </w:t>
      </w:r>
      <w:r w:rsidRPr="00880458">
        <w:rPr>
          <w:color w:val="231F20"/>
          <w:w w:val="105"/>
          <w:lang w:val="id-ID"/>
        </w:rPr>
        <w:t>the sector or sub-sector (i) is categorized as a non-leading sector</w:t>
      </w:r>
      <w:r w:rsidR="002D0BCA">
        <w:rPr>
          <w:color w:val="FF0000"/>
          <w:w w:val="105"/>
        </w:rPr>
        <w:t>,</w:t>
      </w:r>
      <w:r w:rsidRPr="00880458">
        <w:rPr>
          <w:color w:val="231F20"/>
          <w:w w:val="105"/>
          <w:lang w:val="id-ID"/>
        </w:rPr>
        <w:t xml:space="preserve"> which tends to import products from other regions.</w:t>
      </w:r>
    </w:p>
    <w:p w:rsidR="00880458" w:rsidRPr="00880458" w:rsidRDefault="00880458" w:rsidP="00880458">
      <w:pPr>
        <w:pStyle w:val="BodyText"/>
        <w:spacing w:line="283" w:lineRule="auto"/>
        <w:ind w:left="130" w:right="38" w:firstLine="154"/>
        <w:jc w:val="both"/>
        <w:rPr>
          <w:color w:val="231F20"/>
          <w:w w:val="105"/>
          <w:lang w:val="id-ID"/>
        </w:rPr>
      </w:pPr>
      <w:r w:rsidRPr="002D0BCA">
        <w:rPr>
          <w:color w:val="231F20"/>
          <w:w w:val="105"/>
          <w:highlight w:val="yellow"/>
          <w:lang w:val="id-ID"/>
        </w:rPr>
        <w:t xml:space="preserve">Tarigan (2007) states in the Shift Share Analysis (SSA), dividing regional growth into 3 components, </w:t>
      </w:r>
      <w:r w:rsidR="001B4D9F" w:rsidRPr="002D0BCA">
        <w:rPr>
          <w:color w:val="231F20"/>
          <w:w w:val="105"/>
          <w:highlight w:val="yellow"/>
          <w:lang w:val="id-ID"/>
        </w:rPr>
        <w:t>i.e</w:t>
      </w:r>
      <w:r w:rsidRPr="002D0BCA">
        <w:rPr>
          <w:color w:val="231F20"/>
          <w:w w:val="105"/>
          <w:highlight w:val="yellow"/>
          <w:lang w:val="id-ID"/>
        </w:rPr>
        <w:t>: national growth (N), mixed industry (industrial mix) (Μ), and competitive advantage (C).</w:t>
      </w:r>
      <w:r w:rsidR="002D0BCA">
        <w:rPr>
          <w:color w:val="FF0000"/>
          <w:w w:val="105"/>
        </w:rPr>
        <w:t>--rephrase</w:t>
      </w:r>
      <w:r w:rsidRPr="00880458">
        <w:rPr>
          <w:color w:val="231F20"/>
          <w:w w:val="105"/>
          <w:lang w:val="id-ID"/>
        </w:rPr>
        <w:t xml:space="preserve"> The effect of national growth is called the share effect, </w:t>
      </w:r>
      <w:r w:rsidR="002D0BCA">
        <w:rPr>
          <w:color w:val="FF0000"/>
          <w:w w:val="105"/>
        </w:rPr>
        <w:t xml:space="preserve">and </w:t>
      </w:r>
      <w:r w:rsidRPr="00880458">
        <w:rPr>
          <w:color w:val="231F20"/>
          <w:w w:val="105"/>
          <w:lang w:val="id-ID"/>
        </w:rPr>
        <w:t>the influence of the industrial mix is ​​called the proportional shift or composition mix</w:t>
      </w:r>
      <w:r w:rsidR="002D0BCA">
        <w:rPr>
          <w:color w:val="FF0000"/>
          <w:w w:val="105"/>
        </w:rPr>
        <w:t>.</w:t>
      </w:r>
      <w:r w:rsidRPr="00880458">
        <w:rPr>
          <w:color w:val="231F20"/>
          <w:w w:val="105"/>
          <w:lang w:val="id-ID"/>
        </w:rPr>
        <w:t xml:space="preserve"> </w:t>
      </w:r>
      <w:r w:rsidRPr="002D0BCA">
        <w:rPr>
          <w:strike/>
          <w:color w:val="FF0000"/>
          <w:w w:val="105"/>
          <w:lang w:val="id-ID"/>
        </w:rPr>
        <w:t>and</w:t>
      </w:r>
      <w:r w:rsidRPr="00880458">
        <w:rPr>
          <w:color w:val="231F20"/>
          <w:w w:val="105"/>
          <w:lang w:val="id-ID"/>
        </w:rPr>
        <w:t xml:space="preserve"> </w:t>
      </w:r>
      <w:r w:rsidR="002D0BCA">
        <w:rPr>
          <w:color w:val="FF0000"/>
          <w:w w:val="105"/>
        </w:rPr>
        <w:t>F</w:t>
      </w:r>
      <w:r w:rsidRPr="00880458">
        <w:rPr>
          <w:color w:val="231F20"/>
          <w:w w:val="105"/>
          <w:lang w:val="id-ID"/>
        </w:rPr>
        <w:t>inally</w:t>
      </w:r>
      <w:r w:rsidR="002D0BCA">
        <w:rPr>
          <w:color w:val="FF0000"/>
          <w:w w:val="105"/>
        </w:rPr>
        <w:t>,</w:t>
      </w:r>
      <w:r w:rsidRPr="00880458">
        <w:rPr>
          <w:color w:val="231F20"/>
          <w:w w:val="105"/>
          <w:lang w:val="id-ID"/>
        </w:rPr>
        <w:t xml:space="preserve"> the effect of competitive advantage is called differential shift or regional share.</w:t>
      </w:r>
    </w:p>
    <w:p w:rsidR="00880458" w:rsidRDefault="00880458" w:rsidP="00880458">
      <w:pPr>
        <w:pStyle w:val="BodyText"/>
        <w:spacing w:line="283" w:lineRule="auto"/>
        <w:ind w:left="130" w:right="38" w:firstLine="154"/>
        <w:jc w:val="both"/>
        <w:rPr>
          <w:color w:val="231F20"/>
          <w:w w:val="105"/>
          <w:lang w:val="id-ID"/>
        </w:rPr>
      </w:pPr>
      <w:r w:rsidRPr="00880458">
        <w:rPr>
          <w:color w:val="231F20"/>
          <w:w w:val="105"/>
          <w:lang w:val="id-ID"/>
        </w:rPr>
        <w:t>If this analysis model is applied and operationalized to regional income (GRDP), then:</w:t>
      </w:r>
    </w:p>
    <w:p w:rsidR="00880458" w:rsidRPr="00880458" w:rsidRDefault="00880458" w:rsidP="00880458">
      <w:pPr>
        <w:pStyle w:val="BodyText"/>
        <w:spacing w:line="283" w:lineRule="auto"/>
        <w:ind w:left="130" w:right="38" w:firstLine="154"/>
        <w:jc w:val="both"/>
        <w:rPr>
          <w:color w:val="231F20"/>
          <w:w w:val="105"/>
          <w:lang w:val="id-ID"/>
        </w:rPr>
      </w:pPr>
    </w:p>
    <w:p w:rsidR="00880458" w:rsidRDefault="00880458" w:rsidP="00880458">
      <w:pPr>
        <w:pStyle w:val="BodyText"/>
        <w:spacing w:line="283" w:lineRule="auto"/>
        <w:ind w:left="130" w:right="38" w:firstLine="154"/>
        <w:jc w:val="both"/>
        <w:rPr>
          <w:color w:val="231F20"/>
          <w:w w:val="105"/>
          <w:lang w:val="id-ID"/>
        </w:rPr>
      </w:pPr>
      <w:r w:rsidRPr="00880458">
        <w:rPr>
          <w:i/>
          <w:color w:val="231F20"/>
          <w:w w:val="105"/>
          <w:lang w:val="id-ID"/>
        </w:rPr>
        <w:t>N</w:t>
      </w:r>
      <w:r w:rsidRPr="00880458">
        <w:rPr>
          <w:i/>
          <w:color w:val="231F20"/>
          <w:w w:val="105"/>
          <w:vertAlign w:val="subscript"/>
          <w:lang w:val="id-ID"/>
        </w:rPr>
        <w:t>ij</w:t>
      </w:r>
      <w:r w:rsidRPr="00880458">
        <w:rPr>
          <w:i/>
          <w:color w:val="231F20"/>
          <w:w w:val="105"/>
          <w:lang w:val="id-ID"/>
        </w:rPr>
        <w:t xml:space="preserve"> = Y</w:t>
      </w:r>
      <w:r w:rsidRPr="00880458">
        <w:rPr>
          <w:i/>
          <w:color w:val="231F20"/>
          <w:w w:val="105"/>
          <w:vertAlign w:val="subscript"/>
          <w:lang w:val="id-ID"/>
        </w:rPr>
        <w:t>ij</w:t>
      </w:r>
      <w:r w:rsidRPr="00880458">
        <w:rPr>
          <w:i/>
          <w:color w:val="231F20"/>
          <w:w w:val="105"/>
          <w:lang w:val="id-ID"/>
        </w:rPr>
        <w:t>. R</w:t>
      </w:r>
      <w:r w:rsidRPr="00880458">
        <w:rPr>
          <w:i/>
          <w:color w:val="231F20"/>
          <w:w w:val="105"/>
          <w:vertAlign w:val="subscript"/>
          <w:lang w:val="id-ID"/>
        </w:rPr>
        <w:t>n</w:t>
      </w:r>
      <w:r>
        <w:rPr>
          <w:color w:val="231F20"/>
          <w:w w:val="105"/>
          <w:lang w:val="id-ID"/>
        </w:rPr>
        <w:t xml:space="preserve"> </w:t>
      </w:r>
      <w:r>
        <w:rPr>
          <w:color w:val="231F20"/>
          <w:w w:val="105"/>
          <w:lang w:val="id-ID"/>
        </w:rPr>
        <w:tab/>
      </w:r>
      <w:r>
        <w:rPr>
          <w:color w:val="231F20"/>
          <w:w w:val="105"/>
          <w:lang w:val="id-ID"/>
        </w:rPr>
        <w:tab/>
      </w:r>
      <w:r>
        <w:rPr>
          <w:color w:val="231F20"/>
          <w:w w:val="105"/>
          <w:lang w:val="id-ID"/>
        </w:rPr>
        <w:tab/>
      </w:r>
      <w:r>
        <w:rPr>
          <w:color w:val="231F20"/>
          <w:w w:val="105"/>
          <w:lang w:val="id-ID"/>
        </w:rPr>
        <w:tab/>
      </w:r>
      <w:r>
        <w:rPr>
          <w:color w:val="231F20"/>
          <w:w w:val="105"/>
          <w:lang w:val="id-ID"/>
        </w:rPr>
        <w:tab/>
        <w:t>(2)</w:t>
      </w:r>
    </w:p>
    <w:p w:rsidR="00F8377E" w:rsidRDefault="00F8377E" w:rsidP="00880458">
      <w:pPr>
        <w:pStyle w:val="BodyText"/>
        <w:spacing w:line="283" w:lineRule="auto"/>
        <w:ind w:left="130" w:right="38" w:firstLine="154"/>
        <w:jc w:val="both"/>
        <w:rPr>
          <w:color w:val="231F20"/>
          <w:w w:val="105"/>
          <w:lang w:val="id-ID"/>
        </w:rPr>
      </w:pPr>
    </w:p>
    <w:p w:rsidR="00F8377E" w:rsidRDefault="00F8377E" w:rsidP="00880458">
      <w:pPr>
        <w:pStyle w:val="BodyText"/>
        <w:spacing w:line="283" w:lineRule="auto"/>
        <w:ind w:left="130" w:right="38" w:firstLine="154"/>
        <w:jc w:val="both"/>
        <w:rPr>
          <w:color w:val="231F20"/>
          <w:w w:val="105"/>
          <w:lang w:val="id-ID"/>
        </w:rPr>
      </w:pPr>
    </w:p>
    <w:p w:rsidR="00F8377E" w:rsidRDefault="00F8377E" w:rsidP="00880458">
      <w:pPr>
        <w:pStyle w:val="BodyText"/>
        <w:spacing w:line="283" w:lineRule="auto"/>
        <w:ind w:left="130" w:right="38" w:firstLine="154"/>
        <w:jc w:val="both"/>
        <w:rPr>
          <w:color w:val="231F20"/>
          <w:w w:val="105"/>
          <w:lang w:val="id-ID"/>
        </w:rPr>
      </w:pPr>
    </w:p>
    <w:p w:rsidR="00880458" w:rsidRDefault="00880458" w:rsidP="00880458">
      <w:pPr>
        <w:pStyle w:val="BodyText"/>
        <w:spacing w:line="283" w:lineRule="auto"/>
        <w:ind w:left="130" w:right="38" w:firstLine="154"/>
        <w:jc w:val="both"/>
        <w:rPr>
          <w:color w:val="231F20"/>
          <w:w w:val="105"/>
          <w:lang w:val="id-ID"/>
        </w:rPr>
      </w:pPr>
    </w:p>
    <w:p w:rsidR="00A53CCD" w:rsidRPr="00880458" w:rsidRDefault="00880458" w:rsidP="00A56FCD">
      <w:pPr>
        <w:pStyle w:val="BodyText"/>
        <w:spacing w:line="283" w:lineRule="auto"/>
        <w:ind w:left="142" w:right="38"/>
        <w:jc w:val="both"/>
        <w:rPr>
          <w:color w:val="231F20"/>
          <w:w w:val="105"/>
          <w:lang w:val="id-ID"/>
        </w:rPr>
      </w:pPr>
      <w:r w:rsidRPr="00880458">
        <w:rPr>
          <w:color w:val="231F20"/>
          <w:w w:val="105"/>
          <w:lang w:val="id-ID"/>
        </w:rPr>
        <w:lastRenderedPageBreak/>
        <w:t>where</w:t>
      </w:r>
      <w:r w:rsidRPr="002D0BCA">
        <w:rPr>
          <w:strike/>
          <w:color w:val="FF0000"/>
          <w:w w:val="105"/>
          <w:lang w:val="id-ID"/>
        </w:rPr>
        <w:t xml:space="preserve">, </w:t>
      </w:r>
      <w:r w:rsidRPr="002D0BCA">
        <w:rPr>
          <w:color w:val="231F20"/>
          <w:w w:val="105"/>
          <w:highlight w:val="yellow"/>
          <w:lang w:val="id-ID"/>
        </w:rPr>
        <w:t>N</w:t>
      </w:r>
      <w:r w:rsidRPr="002D0BCA">
        <w:rPr>
          <w:color w:val="231F20"/>
          <w:w w:val="105"/>
          <w:highlight w:val="yellow"/>
          <w:vertAlign w:val="subscript"/>
          <w:lang w:val="id-ID"/>
        </w:rPr>
        <w:t>ij</w:t>
      </w:r>
      <w:r w:rsidR="00094EF0" w:rsidRPr="002D0BCA">
        <w:rPr>
          <w:color w:val="231F20"/>
          <w:w w:val="105"/>
          <w:highlight w:val="yellow"/>
          <w:vertAlign w:val="subscript"/>
          <w:lang w:val="id-ID"/>
        </w:rPr>
        <w:t xml:space="preserve"> </w:t>
      </w:r>
      <w:r w:rsidR="00A56FCD" w:rsidRPr="002D0BCA">
        <w:rPr>
          <w:color w:val="231F20"/>
          <w:w w:val="105"/>
          <w:highlight w:val="yellow"/>
          <w:lang w:val="id-ID"/>
        </w:rPr>
        <w:t>is</w:t>
      </w:r>
      <w:r w:rsidRPr="002D0BCA">
        <w:rPr>
          <w:color w:val="231F20"/>
          <w:w w:val="105"/>
          <w:highlight w:val="yellow"/>
          <w:lang w:val="id-ID"/>
        </w:rPr>
        <w:t xml:space="preserve"> growth of GRDP sector (i) Malinau Regency is influenced by GRDP growth in North Kalimantan Province</w:t>
      </w:r>
      <w:r w:rsidR="002D0BCA">
        <w:rPr>
          <w:color w:val="FF0000"/>
          <w:w w:val="105"/>
        </w:rPr>
        <w:t>--rephrase</w:t>
      </w:r>
      <w:r w:rsidRPr="00880458">
        <w:rPr>
          <w:color w:val="231F20"/>
          <w:w w:val="105"/>
          <w:lang w:val="id-ID"/>
        </w:rPr>
        <w:t>; Y</w:t>
      </w:r>
      <w:r w:rsidRPr="00880458">
        <w:rPr>
          <w:color w:val="231F20"/>
          <w:w w:val="105"/>
          <w:vertAlign w:val="subscript"/>
          <w:lang w:val="id-ID"/>
        </w:rPr>
        <w:t>ij</w:t>
      </w:r>
      <w:r w:rsidR="00094EF0">
        <w:rPr>
          <w:color w:val="231F20"/>
          <w:w w:val="105"/>
          <w:vertAlign w:val="subscript"/>
          <w:lang w:val="id-ID"/>
        </w:rPr>
        <w:t xml:space="preserve"> </w:t>
      </w:r>
      <w:r w:rsidR="00A56FCD">
        <w:rPr>
          <w:color w:val="231F20"/>
          <w:w w:val="105"/>
          <w:lang w:val="id-ID"/>
        </w:rPr>
        <w:t>is</w:t>
      </w:r>
      <w:r w:rsidRPr="00880458">
        <w:rPr>
          <w:color w:val="231F20"/>
          <w:w w:val="105"/>
          <w:lang w:val="id-ID"/>
        </w:rPr>
        <w:t xml:space="preserve"> GRDP in sector i of Malinau Regency; r</w:t>
      </w:r>
      <w:r w:rsidRPr="00880458">
        <w:rPr>
          <w:color w:val="231F20"/>
          <w:w w:val="105"/>
          <w:vertAlign w:val="subscript"/>
          <w:lang w:val="id-ID"/>
        </w:rPr>
        <w:t>n</w:t>
      </w:r>
      <w:r w:rsidR="00094EF0">
        <w:rPr>
          <w:color w:val="231F20"/>
          <w:w w:val="105"/>
          <w:vertAlign w:val="subscript"/>
          <w:lang w:val="id-ID"/>
        </w:rPr>
        <w:t xml:space="preserve"> </w:t>
      </w:r>
      <w:r w:rsidR="00A56FCD">
        <w:rPr>
          <w:color w:val="231F20"/>
          <w:w w:val="105"/>
          <w:lang w:val="id-ID"/>
        </w:rPr>
        <w:t>is</w:t>
      </w:r>
      <w:r w:rsidRPr="00880458">
        <w:rPr>
          <w:color w:val="231F20"/>
          <w:w w:val="105"/>
          <w:lang w:val="id-ID"/>
        </w:rPr>
        <w:t xml:space="preserve"> Total GRDP growth in North Kalimantan Province.</w:t>
      </w:r>
    </w:p>
    <w:p w:rsidR="00880458" w:rsidRDefault="00880458" w:rsidP="00880458">
      <w:pPr>
        <w:pStyle w:val="BodyText"/>
        <w:spacing w:line="283" w:lineRule="auto"/>
        <w:ind w:left="130" w:right="38" w:firstLine="154"/>
        <w:jc w:val="both"/>
        <w:rPr>
          <w:color w:val="231F20"/>
          <w:w w:val="105"/>
          <w:lang w:val="id-ID"/>
        </w:rPr>
      </w:pPr>
      <w:r w:rsidRPr="00880458">
        <w:rPr>
          <w:color w:val="231F20"/>
          <w:w w:val="105"/>
          <w:lang w:val="id-ID"/>
        </w:rPr>
        <w:t>This equation is for calculating and analyzing the relationship of the North Kalimantan Province GRDP growth component to the Malinau Regency GRDP growth in North Kalimantan Province.</w:t>
      </w:r>
    </w:p>
    <w:p w:rsidR="00880458" w:rsidRDefault="00880458" w:rsidP="00880458">
      <w:pPr>
        <w:pStyle w:val="BodyText"/>
        <w:spacing w:line="283" w:lineRule="auto"/>
        <w:ind w:left="130" w:right="38" w:firstLine="154"/>
        <w:jc w:val="both"/>
        <w:rPr>
          <w:color w:val="231F20"/>
          <w:w w:val="105"/>
          <w:lang w:val="id-ID"/>
        </w:rPr>
      </w:pPr>
    </w:p>
    <w:p w:rsidR="00880458" w:rsidRDefault="00880458" w:rsidP="00880458">
      <w:pPr>
        <w:pStyle w:val="BodyText"/>
        <w:spacing w:line="283" w:lineRule="auto"/>
        <w:ind w:left="130" w:right="38" w:firstLine="154"/>
        <w:jc w:val="both"/>
        <w:rPr>
          <w:color w:val="231F20"/>
          <w:w w:val="105"/>
          <w:lang w:val="id-ID"/>
        </w:rPr>
      </w:pPr>
      <w:r w:rsidRPr="00880458">
        <w:rPr>
          <w:i/>
          <w:color w:val="231F20"/>
          <w:w w:val="105"/>
          <w:lang w:val="id-ID"/>
        </w:rPr>
        <w:t>M</w:t>
      </w:r>
      <w:r w:rsidRPr="00880458">
        <w:rPr>
          <w:i/>
          <w:color w:val="231F20"/>
          <w:w w:val="105"/>
          <w:vertAlign w:val="subscript"/>
          <w:lang w:val="id-ID"/>
        </w:rPr>
        <w:t>ij</w:t>
      </w:r>
      <w:r w:rsidRPr="00880458">
        <w:rPr>
          <w:i/>
          <w:color w:val="231F20"/>
          <w:w w:val="105"/>
          <w:lang w:val="id-ID"/>
        </w:rPr>
        <w:t xml:space="preserve"> ​​= Y</w:t>
      </w:r>
      <w:r w:rsidRPr="00880458">
        <w:rPr>
          <w:i/>
          <w:color w:val="231F20"/>
          <w:w w:val="105"/>
          <w:vertAlign w:val="subscript"/>
          <w:lang w:val="id-ID"/>
        </w:rPr>
        <w:t>ij</w:t>
      </w:r>
      <w:r w:rsidRPr="00880458">
        <w:rPr>
          <w:i/>
          <w:color w:val="231F20"/>
          <w:w w:val="105"/>
          <w:lang w:val="id-ID"/>
        </w:rPr>
        <w:t>. (r</w:t>
      </w:r>
      <w:r w:rsidRPr="00880458">
        <w:rPr>
          <w:i/>
          <w:color w:val="231F20"/>
          <w:w w:val="105"/>
          <w:vertAlign w:val="subscript"/>
          <w:lang w:val="id-ID"/>
        </w:rPr>
        <w:t>in</w:t>
      </w:r>
      <w:r w:rsidRPr="00880458">
        <w:rPr>
          <w:i/>
          <w:color w:val="231F20"/>
          <w:w w:val="105"/>
          <w:lang w:val="id-ID"/>
        </w:rPr>
        <w:t xml:space="preserve"> - r</w:t>
      </w:r>
      <w:r w:rsidRPr="00880458">
        <w:rPr>
          <w:i/>
          <w:color w:val="231F20"/>
          <w:w w:val="105"/>
          <w:vertAlign w:val="subscript"/>
          <w:lang w:val="id-ID"/>
        </w:rPr>
        <w:t>n</w:t>
      </w:r>
      <w:r w:rsidRPr="00880458">
        <w:rPr>
          <w:i/>
          <w:color w:val="231F20"/>
          <w:w w:val="105"/>
          <w:lang w:val="id-ID"/>
        </w:rPr>
        <w:t>)</w:t>
      </w:r>
      <w:r>
        <w:rPr>
          <w:color w:val="231F20"/>
          <w:w w:val="105"/>
          <w:lang w:val="id-ID"/>
        </w:rPr>
        <w:t xml:space="preserve"> </w:t>
      </w:r>
      <w:r>
        <w:rPr>
          <w:color w:val="231F20"/>
          <w:w w:val="105"/>
          <w:lang w:val="id-ID"/>
        </w:rPr>
        <w:tab/>
      </w:r>
      <w:r>
        <w:rPr>
          <w:color w:val="231F20"/>
          <w:w w:val="105"/>
          <w:lang w:val="id-ID"/>
        </w:rPr>
        <w:tab/>
      </w:r>
      <w:r>
        <w:rPr>
          <w:color w:val="231F20"/>
          <w:w w:val="105"/>
          <w:lang w:val="id-ID"/>
        </w:rPr>
        <w:tab/>
      </w:r>
      <w:r>
        <w:rPr>
          <w:color w:val="231F20"/>
          <w:w w:val="105"/>
          <w:lang w:val="id-ID"/>
        </w:rPr>
        <w:tab/>
        <w:t>(3)</w:t>
      </w:r>
    </w:p>
    <w:p w:rsidR="00880458" w:rsidRPr="00880458" w:rsidRDefault="00880458" w:rsidP="00880458">
      <w:pPr>
        <w:pStyle w:val="BodyText"/>
        <w:spacing w:line="283" w:lineRule="auto"/>
        <w:ind w:left="130" w:right="38" w:firstLine="154"/>
        <w:jc w:val="both"/>
        <w:rPr>
          <w:color w:val="231F20"/>
          <w:w w:val="105"/>
          <w:lang w:val="id-ID"/>
        </w:rPr>
      </w:pPr>
    </w:p>
    <w:p w:rsidR="00880458" w:rsidRPr="00880458" w:rsidRDefault="00880458" w:rsidP="00880458">
      <w:pPr>
        <w:pStyle w:val="BodyText"/>
        <w:spacing w:line="283" w:lineRule="auto"/>
        <w:ind w:left="130" w:right="38" w:firstLine="12"/>
        <w:jc w:val="both"/>
        <w:rPr>
          <w:color w:val="231F20"/>
          <w:w w:val="105"/>
          <w:lang w:val="id-ID"/>
        </w:rPr>
      </w:pPr>
      <w:r w:rsidRPr="00880458">
        <w:rPr>
          <w:color w:val="231F20"/>
          <w:w w:val="105"/>
          <w:lang w:val="id-ID"/>
        </w:rPr>
        <w:t>where</w:t>
      </w:r>
      <w:r w:rsidRPr="002D0BCA">
        <w:rPr>
          <w:strike/>
          <w:color w:val="FF0000"/>
          <w:w w:val="105"/>
          <w:lang w:val="id-ID"/>
        </w:rPr>
        <w:t xml:space="preserve">, </w:t>
      </w:r>
      <w:r w:rsidRPr="00880458">
        <w:rPr>
          <w:color w:val="231F20"/>
          <w:w w:val="105"/>
          <w:lang w:val="id-ID"/>
        </w:rPr>
        <w:t>M</w:t>
      </w:r>
      <w:r w:rsidRPr="00880458">
        <w:rPr>
          <w:color w:val="231F20"/>
          <w:w w:val="105"/>
          <w:vertAlign w:val="subscript"/>
          <w:lang w:val="id-ID"/>
        </w:rPr>
        <w:t>ij</w:t>
      </w:r>
      <w:r w:rsidR="00094EF0">
        <w:rPr>
          <w:color w:val="231F20"/>
          <w:w w:val="105"/>
          <w:vertAlign w:val="subscript"/>
          <w:lang w:val="id-ID"/>
        </w:rPr>
        <w:t xml:space="preserve"> </w:t>
      </w:r>
      <w:r w:rsidR="001B4D9F">
        <w:rPr>
          <w:color w:val="231F20"/>
          <w:w w:val="105"/>
          <w:lang w:val="id-ID"/>
        </w:rPr>
        <w:t>is</w:t>
      </w:r>
      <w:r w:rsidRPr="00880458">
        <w:rPr>
          <w:color w:val="231F20"/>
          <w:w w:val="105"/>
          <w:lang w:val="id-ID"/>
        </w:rPr>
        <w:t xml:space="preserve"> GRDP growth in sector (i) of Malinau </w:t>
      </w:r>
      <w:r w:rsidR="00F76DBE">
        <w:rPr>
          <w:color w:val="231F20"/>
          <w:w w:val="105"/>
          <w:lang w:val="id-ID"/>
        </w:rPr>
        <w:t>Regency</w:t>
      </w:r>
      <w:r w:rsidR="002D0BCA">
        <w:rPr>
          <w:color w:val="FF0000"/>
          <w:w w:val="105"/>
        </w:rPr>
        <w:t>,</w:t>
      </w:r>
      <w:r w:rsidRPr="00880458">
        <w:rPr>
          <w:color w:val="231F20"/>
          <w:w w:val="105"/>
          <w:lang w:val="id-ID"/>
        </w:rPr>
        <w:t xml:space="preserve"> which is influenced by the industrial mix of North Kalimantan Province; Y</w:t>
      </w:r>
      <w:r w:rsidRPr="00880458">
        <w:rPr>
          <w:color w:val="231F20"/>
          <w:w w:val="105"/>
          <w:vertAlign w:val="subscript"/>
          <w:lang w:val="id-ID"/>
        </w:rPr>
        <w:t>ij</w:t>
      </w:r>
      <w:r w:rsidR="00094EF0">
        <w:rPr>
          <w:color w:val="231F20"/>
          <w:w w:val="105"/>
          <w:vertAlign w:val="subscript"/>
          <w:lang w:val="id-ID"/>
        </w:rPr>
        <w:t xml:space="preserve"> </w:t>
      </w:r>
      <w:r w:rsidR="001B4D9F">
        <w:rPr>
          <w:color w:val="231F20"/>
          <w:w w:val="105"/>
          <w:lang w:val="id-ID"/>
        </w:rPr>
        <w:t>is</w:t>
      </w:r>
      <w:r w:rsidRPr="00880458">
        <w:rPr>
          <w:color w:val="231F20"/>
          <w:w w:val="105"/>
          <w:lang w:val="id-ID"/>
        </w:rPr>
        <w:t xml:space="preserve"> PDRB sector (i) of Malinau Regency in North Kalimantan Province; r</w:t>
      </w:r>
      <w:r w:rsidRPr="00880458">
        <w:rPr>
          <w:color w:val="231F20"/>
          <w:w w:val="105"/>
          <w:vertAlign w:val="subscript"/>
          <w:lang w:val="id-ID"/>
        </w:rPr>
        <w:t>in</w:t>
      </w:r>
      <w:r w:rsidR="00094EF0">
        <w:rPr>
          <w:color w:val="231F20"/>
          <w:w w:val="105"/>
          <w:vertAlign w:val="subscript"/>
          <w:lang w:val="id-ID"/>
        </w:rPr>
        <w:t xml:space="preserve"> </w:t>
      </w:r>
      <w:r w:rsidR="001B4D9F">
        <w:rPr>
          <w:color w:val="231F20"/>
          <w:w w:val="105"/>
          <w:lang w:val="id-ID"/>
        </w:rPr>
        <w:t>is</w:t>
      </w:r>
      <w:r w:rsidRPr="00880458">
        <w:rPr>
          <w:color w:val="231F20"/>
          <w:w w:val="105"/>
          <w:lang w:val="id-ID"/>
        </w:rPr>
        <w:t xml:space="preserve"> GRDP growth in (i) Province North Kalimantan; r</w:t>
      </w:r>
      <w:r w:rsidRPr="00880458">
        <w:rPr>
          <w:color w:val="231F20"/>
          <w:w w:val="105"/>
          <w:vertAlign w:val="subscript"/>
          <w:lang w:val="id-ID"/>
        </w:rPr>
        <w:t>n</w:t>
      </w:r>
      <w:r w:rsidR="001B4D9F">
        <w:rPr>
          <w:color w:val="231F20"/>
          <w:w w:val="105"/>
          <w:lang w:val="id-ID"/>
        </w:rPr>
        <w:t xml:space="preserve"> is</w:t>
      </w:r>
      <w:r w:rsidRPr="00880458">
        <w:rPr>
          <w:color w:val="231F20"/>
          <w:w w:val="105"/>
          <w:lang w:val="id-ID"/>
        </w:rPr>
        <w:t xml:space="preserve"> North Kalimantan's total GRDP growth.</w:t>
      </w:r>
    </w:p>
    <w:p w:rsidR="00F76DBE" w:rsidRDefault="00F76DBE" w:rsidP="00A53CCD">
      <w:pPr>
        <w:pStyle w:val="BodyText"/>
        <w:spacing w:line="283" w:lineRule="auto"/>
        <w:ind w:left="130" w:right="38" w:firstLine="154"/>
        <w:jc w:val="both"/>
        <w:rPr>
          <w:color w:val="231F20"/>
          <w:w w:val="105"/>
          <w:lang w:val="id-ID"/>
        </w:rPr>
      </w:pPr>
      <w:r w:rsidRPr="002D0BCA">
        <w:rPr>
          <w:color w:val="231F20"/>
          <w:w w:val="105"/>
          <w:highlight w:val="yellow"/>
          <w:lang w:val="id-ID"/>
        </w:rPr>
        <w:t>C</w:t>
      </w:r>
      <w:r w:rsidRPr="002D0BCA">
        <w:rPr>
          <w:color w:val="231F20"/>
          <w:w w:val="105"/>
          <w:highlight w:val="yellow"/>
          <w:vertAlign w:val="subscript"/>
          <w:lang w:val="id-ID"/>
        </w:rPr>
        <w:t>ij</w:t>
      </w:r>
      <w:r w:rsidRPr="002D0BCA">
        <w:rPr>
          <w:color w:val="231F20"/>
          <w:w w:val="105"/>
          <w:highlight w:val="yellow"/>
          <w:lang w:val="id-ID"/>
        </w:rPr>
        <w:t xml:space="preserve"> equation to calculate and analyze the interrelations of each sector in the shift share analysis, to measure how far the Regency sector in North Kalimantan Province has component advantages due to the regional mix industry</w:t>
      </w:r>
      <w:r w:rsidR="002D0BCA">
        <w:rPr>
          <w:color w:val="FF0000"/>
          <w:w w:val="105"/>
        </w:rPr>
        <w:t>-- rephrase</w:t>
      </w:r>
      <w:r w:rsidRPr="00F76DBE">
        <w:rPr>
          <w:color w:val="231F20"/>
          <w:w w:val="105"/>
          <w:lang w:val="id-ID"/>
        </w:rPr>
        <w:t>. The values ​​of r</w:t>
      </w:r>
      <w:r w:rsidRPr="00F76DBE">
        <w:rPr>
          <w:color w:val="231F20"/>
          <w:w w:val="105"/>
          <w:vertAlign w:val="subscript"/>
          <w:lang w:val="id-ID"/>
        </w:rPr>
        <w:t>ij</w:t>
      </w:r>
      <w:r w:rsidRPr="00F76DBE">
        <w:rPr>
          <w:color w:val="231F20"/>
          <w:w w:val="105"/>
          <w:lang w:val="id-ID"/>
        </w:rPr>
        <w:t>, rin, and rn are each defined as:</w:t>
      </w:r>
    </w:p>
    <w:p w:rsidR="00F76DBE" w:rsidRPr="00F76DBE" w:rsidRDefault="00F76DBE" w:rsidP="00F76DBE">
      <w:pPr>
        <w:pStyle w:val="BodyText"/>
        <w:spacing w:line="283" w:lineRule="auto"/>
        <w:ind w:left="130" w:right="38" w:firstLine="154"/>
        <w:jc w:val="both"/>
        <w:rPr>
          <w:color w:val="231F20"/>
          <w:w w:val="105"/>
          <w:lang w:val="id-ID"/>
        </w:rPr>
      </w:pPr>
    </w:p>
    <w:p w:rsidR="00F76DBE" w:rsidRDefault="00F76DBE" w:rsidP="00A53CCD">
      <w:pPr>
        <w:pStyle w:val="BodyText"/>
        <w:ind w:left="142" w:right="38" w:firstLine="142"/>
        <w:jc w:val="both"/>
        <w:rPr>
          <w:color w:val="231F20"/>
          <w:w w:val="105"/>
          <w:lang w:val="id-ID"/>
        </w:rPr>
      </w:pPr>
      <w:r w:rsidRPr="0090474A">
        <w:rPr>
          <w:i/>
          <w:color w:val="231F20"/>
          <w:w w:val="105"/>
          <w:lang w:val="id-ID"/>
        </w:rPr>
        <w:t>r</w:t>
      </w:r>
      <w:r w:rsidRPr="0090474A">
        <w:rPr>
          <w:i/>
          <w:color w:val="231F20"/>
          <w:w w:val="105"/>
          <w:vertAlign w:val="subscript"/>
          <w:lang w:val="id-ID"/>
        </w:rPr>
        <w:t>ij</w:t>
      </w:r>
      <w:r w:rsidRPr="0090474A">
        <w:rPr>
          <w:i/>
          <w:color w:val="231F20"/>
          <w:w w:val="105"/>
          <w:lang w:val="id-ID"/>
        </w:rPr>
        <w:t xml:space="preserve"> = (Y</w:t>
      </w:r>
      <w:r w:rsidRPr="0090474A">
        <w:rPr>
          <w:i/>
          <w:color w:val="231F20"/>
          <w:w w:val="105"/>
          <w:vertAlign w:val="subscript"/>
          <w:lang w:val="id-ID"/>
        </w:rPr>
        <w:t>ij</w:t>
      </w:r>
      <w:r w:rsidRPr="0090474A">
        <w:rPr>
          <w:i/>
          <w:color w:val="231F20"/>
          <w:w w:val="105"/>
          <w:lang w:val="id-ID"/>
        </w:rPr>
        <w:t xml:space="preserve"> - Y</w:t>
      </w:r>
      <w:r w:rsidRPr="0090474A">
        <w:rPr>
          <w:i/>
          <w:color w:val="231F20"/>
          <w:w w:val="105"/>
          <w:vertAlign w:val="subscript"/>
          <w:lang w:val="id-ID"/>
        </w:rPr>
        <w:t>ij</w:t>
      </w:r>
      <w:r w:rsidRPr="0090474A">
        <w:rPr>
          <w:i/>
          <w:color w:val="231F20"/>
          <w:w w:val="105"/>
          <w:lang w:val="id-ID"/>
        </w:rPr>
        <w:t xml:space="preserve">, </w:t>
      </w:r>
      <w:r w:rsidRPr="0090474A">
        <w:rPr>
          <w:i/>
          <w:color w:val="231F20"/>
          <w:w w:val="105"/>
          <w:vertAlign w:val="subscript"/>
          <w:lang w:val="id-ID"/>
        </w:rPr>
        <w:t>t-1</w:t>
      </w:r>
      <w:r w:rsidRPr="0090474A">
        <w:rPr>
          <w:i/>
          <w:color w:val="231F20"/>
          <w:w w:val="105"/>
          <w:lang w:val="id-ID"/>
        </w:rPr>
        <w:t>) / Y</w:t>
      </w:r>
      <w:r w:rsidRPr="0090474A">
        <w:rPr>
          <w:i/>
          <w:color w:val="231F20"/>
          <w:w w:val="105"/>
          <w:vertAlign w:val="subscript"/>
          <w:lang w:val="id-ID"/>
        </w:rPr>
        <w:t>ij</w:t>
      </w:r>
      <w:r w:rsidRPr="0090474A">
        <w:rPr>
          <w:i/>
          <w:color w:val="231F20"/>
          <w:w w:val="105"/>
          <w:lang w:val="id-ID"/>
        </w:rPr>
        <w:t xml:space="preserve">, </w:t>
      </w:r>
      <w:r w:rsidRPr="0090474A">
        <w:rPr>
          <w:i/>
          <w:color w:val="231F20"/>
          <w:w w:val="105"/>
          <w:vertAlign w:val="subscript"/>
          <w:lang w:val="id-ID"/>
        </w:rPr>
        <w:t>t-1</w:t>
      </w:r>
      <w:r>
        <w:rPr>
          <w:color w:val="231F20"/>
          <w:w w:val="105"/>
          <w:vertAlign w:val="subscript"/>
          <w:lang w:val="id-ID"/>
        </w:rPr>
        <w:t xml:space="preserve"> </w:t>
      </w:r>
      <w:r>
        <w:rPr>
          <w:color w:val="231F20"/>
          <w:w w:val="105"/>
          <w:vertAlign w:val="subscript"/>
          <w:lang w:val="id-ID"/>
        </w:rPr>
        <w:tab/>
      </w:r>
      <w:r>
        <w:rPr>
          <w:color w:val="231F20"/>
          <w:w w:val="105"/>
          <w:vertAlign w:val="subscript"/>
          <w:lang w:val="id-ID"/>
        </w:rPr>
        <w:tab/>
      </w:r>
      <w:r>
        <w:rPr>
          <w:color w:val="231F20"/>
          <w:w w:val="105"/>
          <w:vertAlign w:val="subscript"/>
          <w:lang w:val="id-ID"/>
        </w:rPr>
        <w:tab/>
      </w:r>
      <w:r>
        <w:rPr>
          <w:color w:val="231F20"/>
          <w:w w:val="105"/>
          <w:vertAlign w:val="subscript"/>
          <w:lang w:val="id-ID"/>
        </w:rPr>
        <w:tab/>
      </w:r>
      <w:r>
        <w:rPr>
          <w:color w:val="231F20"/>
          <w:w w:val="105"/>
          <w:lang w:val="id-ID"/>
        </w:rPr>
        <w:t>(4)</w:t>
      </w:r>
    </w:p>
    <w:p w:rsidR="00A53CCD" w:rsidRPr="00F76DBE" w:rsidRDefault="00A53CCD" w:rsidP="00A53CCD">
      <w:pPr>
        <w:pStyle w:val="BodyText"/>
        <w:ind w:left="142" w:right="38" w:firstLine="142"/>
        <w:jc w:val="both"/>
        <w:rPr>
          <w:color w:val="231F20"/>
          <w:w w:val="105"/>
          <w:lang w:val="id-ID"/>
        </w:rPr>
      </w:pPr>
    </w:p>
    <w:p w:rsidR="00F76DBE" w:rsidRDefault="00F76DBE" w:rsidP="00A53CCD">
      <w:pPr>
        <w:pStyle w:val="BodyText"/>
        <w:ind w:left="142" w:right="38" w:firstLine="142"/>
        <w:jc w:val="both"/>
        <w:rPr>
          <w:color w:val="231F20"/>
          <w:w w:val="105"/>
          <w:lang w:val="id-ID"/>
        </w:rPr>
      </w:pPr>
      <w:r w:rsidRPr="0090474A">
        <w:rPr>
          <w:i/>
          <w:color w:val="231F20"/>
          <w:w w:val="105"/>
          <w:lang w:val="id-ID"/>
        </w:rPr>
        <w:t>r</w:t>
      </w:r>
      <w:r w:rsidRPr="0090474A">
        <w:rPr>
          <w:i/>
          <w:color w:val="231F20"/>
          <w:w w:val="105"/>
          <w:vertAlign w:val="subscript"/>
          <w:lang w:val="id-ID"/>
        </w:rPr>
        <w:t>in</w:t>
      </w:r>
      <w:r w:rsidRPr="0090474A">
        <w:rPr>
          <w:i/>
          <w:color w:val="231F20"/>
          <w:w w:val="105"/>
          <w:lang w:val="id-ID"/>
        </w:rPr>
        <w:t xml:space="preserve"> = (Y</w:t>
      </w:r>
      <w:r w:rsidRPr="0090474A">
        <w:rPr>
          <w:i/>
          <w:color w:val="231F20"/>
          <w:w w:val="105"/>
          <w:vertAlign w:val="subscript"/>
          <w:lang w:val="id-ID"/>
        </w:rPr>
        <w:t>in</w:t>
      </w:r>
      <w:r w:rsidRPr="0090474A">
        <w:rPr>
          <w:i/>
          <w:color w:val="231F20"/>
          <w:w w:val="105"/>
          <w:lang w:val="id-ID"/>
        </w:rPr>
        <w:t xml:space="preserve"> - Y</w:t>
      </w:r>
      <w:r w:rsidRPr="0090474A">
        <w:rPr>
          <w:i/>
          <w:color w:val="231F20"/>
          <w:w w:val="105"/>
          <w:vertAlign w:val="subscript"/>
          <w:lang w:val="id-ID"/>
        </w:rPr>
        <w:t>in</w:t>
      </w:r>
      <w:r w:rsidRPr="0090474A">
        <w:rPr>
          <w:i/>
          <w:color w:val="231F20"/>
          <w:w w:val="105"/>
          <w:lang w:val="id-ID"/>
        </w:rPr>
        <w:t xml:space="preserve">, </w:t>
      </w:r>
      <w:r w:rsidRPr="0090474A">
        <w:rPr>
          <w:i/>
          <w:color w:val="231F20"/>
          <w:w w:val="105"/>
          <w:vertAlign w:val="subscript"/>
          <w:lang w:val="id-ID"/>
        </w:rPr>
        <w:t>t-1</w:t>
      </w:r>
      <w:r w:rsidRPr="0090474A">
        <w:rPr>
          <w:i/>
          <w:color w:val="231F20"/>
          <w:w w:val="105"/>
          <w:lang w:val="id-ID"/>
        </w:rPr>
        <w:t>) / Y</w:t>
      </w:r>
      <w:r w:rsidRPr="0090474A">
        <w:rPr>
          <w:i/>
          <w:color w:val="231F20"/>
          <w:w w:val="105"/>
          <w:vertAlign w:val="subscript"/>
          <w:lang w:val="id-ID"/>
        </w:rPr>
        <w:t>in</w:t>
      </w:r>
      <w:r w:rsidRPr="0090474A">
        <w:rPr>
          <w:i/>
          <w:color w:val="231F20"/>
          <w:w w:val="105"/>
          <w:lang w:val="id-ID"/>
        </w:rPr>
        <w:t xml:space="preserve">, </w:t>
      </w:r>
      <w:r w:rsidRPr="0090474A">
        <w:rPr>
          <w:i/>
          <w:color w:val="231F20"/>
          <w:w w:val="105"/>
          <w:vertAlign w:val="subscript"/>
          <w:lang w:val="id-ID"/>
        </w:rPr>
        <w:t>t-1</w:t>
      </w:r>
      <w:r>
        <w:rPr>
          <w:color w:val="231F20"/>
          <w:w w:val="105"/>
          <w:vertAlign w:val="subscript"/>
          <w:lang w:val="id-ID"/>
        </w:rPr>
        <w:t xml:space="preserve"> </w:t>
      </w:r>
      <w:r>
        <w:rPr>
          <w:color w:val="231F20"/>
          <w:w w:val="105"/>
          <w:vertAlign w:val="subscript"/>
          <w:lang w:val="id-ID"/>
        </w:rPr>
        <w:tab/>
      </w:r>
      <w:r>
        <w:rPr>
          <w:color w:val="231F20"/>
          <w:w w:val="105"/>
          <w:vertAlign w:val="subscript"/>
          <w:lang w:val="id-ID"/>
        </w:rPr>
        <w:tab/>
      </w:r>
      <w:r>
        <w:rPr>
          <w:color w:val="231F20"/>
          <w:w w:val="105"/>
          <w:vertAlign w:val="subscript"/>
          <w:lang w:val="id-ID"/>
        </w:rPr>
        <w:tab/>
      </w:r>
      <w:r>
        <w:rPr>
          <w:color w:val="231F20"/>
          <w:w w:val="105"/>
          <w:lang w:val="id-ID"/>
        </w:rPr>
        <w:t>(5)</w:t>
      </w:r>
    </w:p>
    <w:p w:rsidR="00A53CCD" w:rsidRPr="00F76DBE" w:rsidRDefault="00A53CCD" w:rsidP="00A53CCD">
      <w:pPr>
        <w:pStyle w:val="BodyText"/>
        <w:ind w:left="142" w:right="38" w:firstLine="142"/>
        <w:jc w:val="both"/>
        <w:rPr>
          <w:color w:val="231F20"/>
          <w:w w:val="105"/>
          <w:lang w:val="id-ID"/>
        </w:rPr>
      </w:pPr>
    </w:p>
    <w:p w:rsidR="00F76DBE" w:rsidRPr="00F76DBE" w:rsidRDefault="00F76DBE" w:rsidP="00A53CCD">
      <w:pPr>
        <w:pStyle w:val="BodyText"/>
        <w:ind w:left="142" w:right="38" w:firstLine="142"/>
        <w:jc w:val="both"/>
        <w:rPr>
          <w:color w:val="231F20"/>
          <w:w w:val="105"/>
          <w:lang w:val="id-ID"/>
        </w:rPr>
      </w:pPr>
      <w:r w:rsidRPr="0090474A">
        <w:rPr>
          <w:i/>
          <w:color w:val="231F20"/>
          <w:w w:val="105"/>
          <w:lang w:val="id-ID"/>
        </w:rPr>
        <w:t>r</w:t>
      </w:r>
      <w:r w:rsidRPr="0090474A">
        <w:rPr>
          <w:i/>
          <w:color w:val="231F20"/>
          <w:w w:val="105"/>
          <w:vertAlign w:val="subscript"/>
          <w:lang w:val="id-ID"/>
        </w:rPr>
        <w:t>n</w:t>
      </w:r>
      <w:r w:rsidRPr="0090474A">
        <w:rPr>
          <w:i/>
          <w:color w:val="231F20"/>
          <w:w w:val="105"/>
          <w:lang w:val="id-ID"/>
        </w:rPr>
        <w:t xml:space="preserve"> = (Y</w:t>
      </w:r>
      <w:r w:rsidRPr="0090474A">
        <w:rPr>
          <w:i/>
          <w:color w:val="231F20"/>
          <w:w w:val="105"/>
          <w:vertAlign w:val="subscript"/>
          <w:lang w:val="id-ID"/>
        </w:rPr>
        <w:t>n</w:t>
      </w:r>
      <w:r w:rsidRPr="0090474A">
        <w:rPr>
          <w:i/>
          <w:color w:val="231F20"/>
          <w:w w:val="105"/>
          <w:lang w:val="id-ID"/>
        </w:rPr>
        <w:t xml:space="preserve"> - Y</w:t>
      </w:r>
      <w:r w:rsidRPr="0090474A">
        <w:rPr>
          <w:i/>
          <w:color w:val="231F20"/>
          <w:w w:val="105"/>
          <w:vertAlign w:val="subscript"/>
          <w:lang w:val="id-ID"/>
        </w:rPr>
        <w:t>n</w:t>
      </w:r>
      <w:r w:rsidRPr="0090474A">
        <w:rPr>
          <w:i/>
          <w:color w:val="231F20"/>
          <w:w w:val="105"/>
          <w:lang w:val="id-ID"/>
        </w:rPr>
        <w:t xml:space="preserve">, </w:t>
      </w:r>
      <w:r w:rsidRPr="0090474A">
        <w:rPr>
          <w:i/>
          <w:color w:val="231F20"/>
          <w:w w:val="105"/>
          <w:vertAlign w:val="subscript"/>
          <w:lang w:val="id-ID"/>
        </w:rPr>
        <w:t>t-1</w:t>
      </w:r>
      <w:r w:rsidRPr="0090474A">
        <w:rPr>
          <w:i/>
          <w:color w:val="231F20"/>
          <w:w w:val="105"/>
          <w:lang w:val="id-ID"/>
        </w:rPr>
        <w:t>) / Y</w:t>
      </w:r>
      <w:r w:rsidRPr="0090474A">
        <w:rPr>
          <w:i/>
          <w:color w:val="231F20"/>
          <w:w w:val="105"/>
          <w:vertAlign w:val="subscript"/>
          <w:lang w:val="id-ID"/>
        </w:rPr>
        <w:t>n</w:t>
      </w:r>
      <w:r w:rsidRPr="0090474A">
        <w:rPr>
          <w:i/>
          <w:color w:val="231F20"/>
          <w:w w:val="105"/>
          <w:lang w:val="id-ID"/>
        </w:rPr>
        <w:t xml:space="preserve">, </w:t>
      </w:r>
      <w:r w:rsidRPr="0090474A">
        <w:rPr>
          <w:i/>
          <w:color w:val="231F20"/>
          <w:w w:val="105"/>
          <w:vertAlign w:val="subscript"/>
          <w:lang w:val="id-ID"/>
        </w:rPr>
        <w:t>t-1</w:t>
      </w:r>
      <w:r>
        <w:rPr>
          <w:color w:val="231F20"/>
          <w:w w:val="105"/>
          <w:lang w:val="id-ID"/>
        </w:rPr>
        <w:t xml:space="preserve"> </w:t>
      </w:r>
      <w:r>
        <w:rPr>
          <w:color w:val="231F20"/>
          <w:w w:val="105"/>
          <w:lang w:val="id-ID"/>
        </w:rPr>
        <w:tab/>
      </w:r>
      <w:r>
        <w:rPr>
          <w:color w:val="231F20"/>
          <w:w w:val="105"/>
          <w:lang w:val="id-ID"/>
        </w:rPr>
        <w:tab/>
      </w:r>
      <w:r>
        <w:rPr>
          <w:color w:val="231F20"/>
          <w:w w:val="105"/>
          <w:lang w:val="id-ID"/>
        </w:rPr>
        <w:tab/>
      </w:r>
      <w:r>
        <w:rPr>
          <w:color w:val="231F20"/>
          <w:w w:val="105"/>
          <w:lang w:val="id-ID"/>
        </w:rPr>
        <w:tab/>
        <w:t>(6)</w:t>
      </w:r>
    </w:p>
    <w:p w:rsidR="00F76DBE" w:rsidRDefault="00F76DBE" w:rsidP="00F76DBE">
      <w:pPr>
        <w:pStyle w:val="BodyText"/>
        <w:spacing w:line="283" w:lineRule="auto"/>
        <w:ind w:left="142" w:right="38" w:firstLine="12"/>
        <w:jc w:val="both"/>
        <w:rPr>
          <w:color w:val="231F20"/>
          <w:w w:val="105"/>
          <w:lang w:val="id-ID"/>
        </w:rPr>
      </w:pPr>
    </w:p>
    <w:p w:rsidR="00A53CCD" w:rsidRDefault="00F76DBE" w:rsidP="00A53CCD">
      <w:pPr>
        <w:pStyle w:val="BodyText"/>
        <w:spacing w:line="283" w:lineRule="auto"/>
        <w:ind w:left="142" w:right="38" w:firstLine="12"/>
        <w:jc w:val="both"/>
        <w:rPr>
          <w:color w:val="231F20"/>
          <w:w w:val="105"/>
          <w:lang w:val="id-ID"/>
        </w:rPr>
      </w:pPr>
      <w:r>
        <w:rPr>
          <w:color w:val="231F20"/>
          <w:w w:val="105"/>
          <w:lang w:val="id-ID"/>
        </w:rPr>
        <w:t>where, Y</w:t>
      </w:r>
      <w:r w:rsidRPr="00F76DBE">
        <w:rPr>
          <w:color w:val="231F20"/>
          <w:w w:val="105"/>
          <w:vertAlign w:val="subscript"/>
          <w:lang w:val="id-ID"/>
        </w:rPr>
        <w:t>in</w:t>
      </w:r>
      <w:r w:rsidR="00094EF0">
        <w:rPr>
          <w:color w:val="231F20"/>
          <w:w w:val="105"/>
          <w:vertAlign w:val="subscript"/>
          <w:lang w:val="id-ID"/>
        </w:rPr>
        <w:t xml:space="preserve"> </w:t>
      </w:r>
      <w:r w:rsidR="003A7E5E">
        <w:rPr>
          <w:color w:val="231F20"/>
          <w:w w:val="105"/>
          <w:lang w:val="id-ID"/>
        </w:rPr>
        <w:t>is</w:t>
      </w:r>
      <w:r>
        <w:rPr>
          <w:color w:val="231F20"/>
          <w:w w:val="105"/>
          <w:lang w:val="id-ID"/>
        </w:rPr>
        <w:t xml:space="preserve"> </w:t>
      </w:r>
      <w:r w:rsidRPr="00F76DBE">
        <w:rPr>
          <w:color w:val="231F20"/>
          <w:w w:val="105"/>
          <w:lang w:val="id-ID"/>
        </w:rPr>
        <w:t>GRDP sector (i</w:t>
      </w:r>
      <w:r>
        <w:rPr>
          <w:color w:val="231F20"/>
          <w:w w:val="105"/>
          <w:lang w:val="id-ID"/>
        </w:rPr>
        <w:t>) in North Kalimantan Province. Y</w:t>
      </w:r>
      <w:r w:rsidRPr="00F76DBE">
        <w:rPr>
          <w:color w:val="231F20"/>
          <w:w w:val="105"/>
          <w:vertAlign w:val="subscript"/>
          <w:lang w:val="id-ID"/>
        </w:rPr>
        <w:t>in</w:t>
      </w:r>
      <w:r>
        <w:rPr>
          <w:color w:val="231F20"/>
          <w:w w:val="105"/>
          <w:lang w:val="id-ID"/>
        </w:rPr>
        <w:t xml:space="preserve">, </w:t>
      </w:r>
      <w:r w:rsidRPr="00F76DBE">
        <w:rPr>
          <w:color w:val="231F20"/>
          <w:w w:val="105"/>
          <w:vertAlign w:val="subscript"/>
          <w:lang w:val="id-ID"/>
        </w:rPr>
        <w:t>t-1</w:t>
      </w:r>
      <w:r w:rsidR="00094EF0">
        <w:rPr>
          <w:color w:val="231F20"/>
          <w:w w:val="105"/>
          <w:vertAlign w:val="subscript"/>
          <w:lang w:val="id-ID"/>
        </w:rPr>
        <w:t xml:space="preserve"> </w:t>
      </w:r>
      <w:r w:rsidR="003A7E5E">
        <w:rPr>
          <w:color w:val="231F20"/>
          <w:w w:val="105"/>
          <w:lang w:val="id-ID"/>
        </w:rPr>
        <w:t>is</w:t>
      </w:r>
      <w:r w:rsidRPr="00F76DBE">
        <w:rPr>
          <w:color w:val="231F20"/>
          <w:w w:val="105"/>
          <w:lang w:val="id-ID"/>
        </w:rPr>
        <w:t xml:space="preserve"> GRDP sector (i) in North Kalimanta</w:t>
      </w:r>
      <w:r>
        <w:rPr>
          <w:color w:val="231F20"/>
          <w:w w:val="105"/>
          <w:lang w:val="id-ID"/>
        </w:rPr>
        <w:t>n Province the previous year; Y</w:t>
      </w:r>
      <w:r w:rsidR="00094EF0">
        <w:rPr>
          <w:color w:val="231F20"/>
          <w:w w:val="105"/>
          <w:lang w:val="id-ID"/>
        </w:rPr>
        <w:t xml:space="preserve"> </w:t>
      </w:r>
      <w:r w:rsidR="003A7E5E">
        <w:rPr>
          <w:color w:val="231F20"/>
          <w:w w:val="105"/>
          <w:lang w:val="id-ID"/>
        </w:rPr>
        <w:t>is</w:t>
      </w:r>
      <w:r w:rsidRPr="00F76DBE">
        <w:rPr>
          <w:color w:val="231F20"/>
          <w:w w:val="105"/>
          <w:lang w:val="id-ID"/>
        </w:rPr>
        <w:t xml:space="preserve"> total GR</w:t>
      </w:r>
      <w:r w:rsidR="00094EF0">
        <w:rPr>
          <w:color w:val="231F20"/>
          <w:w w:val="105"/>
          <w:lang w:val="id-ID"/>
        </w:rPr>
        <w:t>DP of North Kalimantan Province</w:t>
      </w:r>
      <w:r w:rsidR="002D0BCA">
        <w:rPr>
          <w:color w:val="FF0000"/>
          <w:w w:val="105"/>
        </w:rPr>
        <w:t>;</w:t>
      </w:r>
      <w:r w:rsidR="00094EF0">
        <w:rPr>
          <w:color w:val="231F20"/>
          <w:w w:val="105"/>
          <w:lang w:val="id-ID"/>
        </w:rPr>
        <w:t xml:space="preserve"> </w:t>
      </w:r>
      <w:r>
        <w:rPr>
          <w:color w:val="231F20"/>
          <w:w w:val="105"/>
          <w:lang w:val="id-ID"/>
        </w:rPr>
        <w:t>Y</w:t>
      </w:r>
      <w:r w:rsidRPr="00F76DBE">
        <w:rPr>
          <w:color w:val="231F20"/>
          <w:w w:val="105"/>
          <w:vertAlign w:val="subscript"/>
          <w:lang w:val="id-ID"/>
        </w:rPr>
        <w:t>n</w:t>
      </w:r>
      <w:r>
        <w:rPr>
          <w:color w:val="231F20"/>
          <w:w w:val="105"/>
          <w:lang w:val="id-ID"/>
        </w:rPr>
        <w:t xml:space="preserve">, </w:t>
      </w:r>
      <w:r w:rsidRPr="00F76DBE">
        <w:rPr>
          <w:color w:val="231F20"/>
          <w:w w:val="105"/>
          <w:vertAlign w:val="subscript"/>
          <w:lang w:val="id-ID"/>
        </w:rPr>
        <w:t>t-1</w:t>
      </w:r>
      <w:r w:rsidR="00094EF0">
        <w:rPr>
          <w:color w:val="231F20"/>
          <w:w w:val="105"/>
          <w:vertAlign w:val="subscript"/>
          <w:lang w:val="id-ID"/>
        </w:rPr>
        <w:t xml:space="preserve"> </w:t>
      </w:r>
      <w:r w:rsidR="003A7E5E">
        <w:rPr>
          <w:color w:val="231F20"/>
          <w:w w:val="105"/>
          <w:lang w:val="id-ID"/>
        </w:rPr>
        <w:t>is</w:t>
      </w:r>
      <w:r w:rsidRPr="00F76DBE">
        <w:rPr>
          <w:color w:val="231F20"/>
          <w:w w:val="105"/>
          <w:lang w:val="id-ID"/>
        </w:rPr>
        <w:t xml:space="preserve"> total North </w:t>
      </w:r>
      <w:r>
        <w:rPr>
          <w:color w:val="231F20"/>
          <w:w w:val="105"/>
          <w:lang w:val="id-ID"/>
        </w:rPr>
        <w:t>Kalimantan GRDP of the previous year; Y</w:t>
      </w:r>
      <w:r w:rsidRPr="00F76DBE">
        <w:rPr>
          <w:color w:val="231F20"/>
          <w:w w:val="105"/>
          <w:vertAlign w:val="subscript"/>
          <w:lang w:val="id-ID"/>
        </w:rPr>
        <w:t>ij</w:t>
      </w:r>
      <w:r w:rsidR="00792286">
        <w:rPr>
          <w:color w:val="231F20"/>
          <w:w w:val="105"/>
          <w:lang w:val="id-ID"/>
        </w:rPr>
        <w:t xml:space="preserve"> is</w:t>
      </w:r>
      <w:r>
        <w:rPr>
          <w:color w:val="231F20"/>
          <w:w w:val="105"/>
          <w:lang w:val="id-ID"/>
        </w:rPr>
        <w:t xml:space="preserve"> </w:t>
      </w:r>
      <w:r w:rsidRPr="00F76DBE">
        <w:rPr>
          <w:color w:val="231F20"/>
          <w:w w:val="105"/>
          <w:lang w:val="id-ID"/>
        </w:rPr>
        <w:t>GRDP</w:t>
      </w:r>
      <w:r>
        <w:rPr>
          <w:color w:val="231F20"/>
          <w:w w:val="105"/>
          <w:lang w:val="id-ID"/>
        </w:rPr>
        <w:t xml:space="preserve"> sector (i) in Malinau Regency; Y</w:t>
      </w:r>
      <w:r w:rsidRPr="00F76DBE">
        <w:rPr>
          <w:color w:val="231F20"/>
          <w:w w:val="105"/>
          <w:vertAlign w:val="subscript"/>
          <w:lang w:val="id-ID"/>
        </w:rPr>
        <w:t>ij</w:t>
      </w:r>
      <w:r>
        <w:rPr>
          <w:color w:val="231F20"/>
          <w:w w:val="105"/>
          <w:lang w:val="id-ID"/>
        </w:rPr>
        <w:t xml:space="preserve">, </w:t>
      </w:r>
      <w:r w:rsidRPr="00F76DBE">
        <w:rPr>
          <w:color w:val="231F20"/>
          <w:w w:val="105"/>
          <w:vertAlign w:val="subscript"/>
          <w:lang w:val="id-ID"/>
        </w:rPr>
        <w:t>t-1</w:t>
      </w:r>
      <w:r w:rsidR="00094EF0">
        <w:rPr>
          <w:color w:val="231F20"/>
          <w:w w:val="105"/>
          <w:vertAlign w:val="subscript"/>
          <w:lang w:val="id-ID"/>
        </w:rPr>
        <w:t xml:space="preserve"> </w:t>
      </w:r>
      <w:r w:rsidR="003A7E5E">
        <w:rPr>
          <w:color w:val="231F20"/>
          <w:w w:val="105"/>
          <w:lang w:val="id-ID"/>
        </w:rPr>
        <w:t>is</w:t>
      </w:r>
      <w:r w:rsidRPr="00F76DBE">
        <w:rPr>
          <w:color w:val="231F20"/>
          <w:w w:val="105"/>
          <w:lang w:val="id-ID"/>
        </w:rPr>
        <w:t xml:space="preserve"> GRDP sector (i) in Malinau Regency</w:t>
      </w:r>
      <w:r>
        <w:rPr>
          <w:color w:val="231F20"/>
          <w:w w:val="105"/>
          <w:lang w:val="id-ID"/>
        </w:rPr>
        <w:t xml:space="preserve"> </w:t>
      </w:r>
      <w:r w:rsidR="002D0BCA">
        <w:rPr>
          <w:color w:val="FF0000"/>
          <w:w w:val="105"/>
        </w:rPr>
        <w:t xml:space="preserve">the </w:t>
      </w:r>
      <w:r>
        <w:rPr>
          <w:color w:val="231F20"/>
          <w:w w:val="105"/>
          <w:lang w:val="id-ID"/>
        </w:rPr>
        <w:t>previous year.</w:t>
      </w:r>
    </w:p>
    <w:p w:rsidR="00F76DBE" w:rsidRDefault="0090474A" w:rsidP="00A53CCD">
      <w:pPr>
        <w:pStyle w:val="BodyText"/>
        <w:spacing w:line="283" w:lineRule="auto"/>
        <w:ind w:left="130" w:right="38" w:firstLine="154"/>
        <w:jc w:val="both"/>
        <w:rPr>
          <w:color w:val="231F20"/>
          <w:w w:val="105"/>
          <w:lang w:val="id-ID"/>
        </w:rPr>
      </w:pPr>
      <w:r w:rsidRPr="0090474A">
        <w:rPr>
          <w:color w:val="231F20"/>
          <w:w w:val="105"/>
          <w:lang w:val="id-ID"/>
        </w:rPr>
        <w:t>For a region, national growth (N</w:t>
      </w:r>
      <w:r w:rsidRPr="0090474A">
        <w:rPr>
          <w:color w:val="231F20"/>
          <w:w w:val="105"/>
          <w:vertAlign w:val="subscript"/>
          <w:lang w:val="id-ID"/>
        </w:rPr>
        <w:t>ij</w:t>
      </w:r>
      <w:r w:rsidRPr="0090474A">
        <w:rPr>
          <w:color w:val="231F20"/>
          <w:w w:val="105"/>
          <w:lang w:val="id-ID"/>
        </w:rPr>
        <w:t>), industry mix (M</w:t>
      </w:r>
      <w:r w:rsidRPr="0090474A">
        <w:rPr>
          <w:color w:val="231F20"/>
          <w:w w:val="105"/>
          <w:vertAlign w:val="subscript"/>
          <w:lang w:val="id-ID"/>
        </w:rPr>
        <w:t>ij</w:t>
      </w:r>
      <w:r w:rsidRPr="0090474A">
        <w:rPr>
          <w:color w:val="231F20"/>
          <w:w w:val="105"/>
          <w:lang w:val="id-ID"/>
        </w:rPr>
        <w:t>), and competitive advantage (C</w:t>
      </w:r>
      <w:r w:rsidRPr="0090474A">
        <w:rPr>
          <w:color w:val="231F20"/>
          <w:w w:val="105"/>
          <w:vertAlign w:val="subscript"/>
          <w:lang w:val="id-ID"/>
        </w:rPr>
        <w:t>ij</w:t>
      </w:r>
      <w:r w:rsidRPr="0090474A">
        <w:rPr>
          <w:color w:val="231F20"/>
          <w:w w:val="105"/>
          <w:lang w:val="id-ID"/>
        </w:rPr>
        <w:t xml:space="preserve">) can be determined for a sector i or summed </w:t>
      </w:r>
      <w:r w:rsidR="00D30C5C">
        <w:rPr>
          <w:color w:val="FF0000"/>
          <w:w w:val="105"/>
        </w:rPr>
        <w:t xml:space="preserve">up </w:t>
      </w:r>
      <w:r w:rsidRPr="0090474A">
        <w:rPr>
          <w:color w:val="231F20"/>
          <w:w w:val="105"/>
          <w:lang w:val="id-ID"/>
        </w:rPr>
        <w:t>for all s</w:t>
      </w:r>
      <w:r>
        <w:rPr>
          <w:color w:val="231F20"/>
          <w:w w:val="105"/>
          <w:lang w:val="id-ID"/>
        </w:rPr>
        <w:t xml:space="preserve">ectors as a whole region. Shift </w:t>
      </w:r>
      <w:r w:rsidRPr="0090474A">
        <w:rPr>
          <w:color w:val="231F20"/>
          <w:w w:val="105"/>
          <w:lang w:val="id-ID"/>
        </w:rPr>
        <w:t xml:space="preserve">share equation for sector </w:t>
      </w:r>
      <w:r>
        <w:rPr>
          <w:color w:val="231F20"/>
          <w:w w:val="105"/>
          <w:lang w:val="id-ID"/>
        </w:rPr>
        <w:t>(</w:t>
      </w:r>
      <w:r w:rsidRPr="0090474A">
        <w:rPr>
          <w:color w:val="231F20"/>
          <w:w w:val="105"/>
          <w:lang w:val="id-ID"/>
        </w:rPr>
        <w:t>i</w:t>
      </w:r>
      <w:r>
        <w:rPr>
          <w:color w:val="231F20"/>
          <w:w w:val="105"/>
          <w:lang w:val="id-ID"/>
        </w:rPr>
        <w:t>)</w:t>
      </w:r>
      <w:r w:rsidRPr="0090474A">
        <w:rPr>
          <w:color w:val="231F20"/>
          <w:w w:val="105"/>
          <w:lang w:val="id-ID"/>
        </w:rPr>
        <w:t xml:space="preserve"> in region </w:t>
      </w:r>
      <w:r>
        <w:rPr>
          <w:color w:val="231F20"/>
          <w:w w:val="105"/>
          <w:lang w:val="id-ID"/>
        </w:rPr>
        <w:t>(</w:t>
      </w:r>
      <w:r w:rsidRPr="0090474A">
        <w:rPr>
          <w:color w:val="231F20"/>
          <w:w w:val="105"/>
          <w:lang w:val="id-ID"/>
        </w:rPr>
        <w:t>j</w:t>
      </w:r>
      <w:r>
        <w:rPr>
          <w:color w:val="231F20"/>
          <w:w w:val="105"/>
          <w:lang w:val="id-ID"/>
        </w:rPr>
        <w:t>)</w:t>
      </w:r>
      <w:r w:rsidR="00D30C5C">
        <w:rPr>
          <w:color w:val="FF0000"/>
          <w:w w:val="105"/>
        </w:rPr>
        <w:t xml:space="preserve"> is</w:t>
      </w:r>
      <w:r w:rsidRPr="0090474A">
        <w:rPr>
          <w:color w:val="231F20"/>
          <w:w w:val="105"/>
          <w:lang w:val="id-ID"/>
        </w:rPr>
        <w:t>:</w:t>
      </w:r>
    </w:p>
    <w:p w:rsidR="0085150B" w:rsidRPr="00122C1D" w:rsidRDefault="0085150B" w:rsidP="00F76DBE">
      <w:pPr>
        <w:pStyle w:val="BodyText"/>
        <w:spacing w:before="1" w:line="283" w:lineRule="auto"/>
        <w:ind w:right="87" w:firstLine="170"/>
        <w:jc w:val="both"/>
        <w:rPr>
          <w:color w:val="231F20"/>
          <w:w w:val="105"/>
          <w:lang w:val="id-ID"/>
        </w:rPr>
      </w:pPr>
    </w:p>
    <w:p w:rsidR="0085150B" w:rsidRDefault="0085150B" w:rsidP="00A53CCD">
      <w:pPr>
        <w:pStyle w:val="BodyText"/>
        <w:spacing w:line="283" w:lineRule="auto"/>
        <w:ind w:left="130" w:right="38" w:firstLine="154"/>
        <w:jc w:val="both"/>
        <w:rPr>
          <w:color w:val="231F20"/>
          <w:w w:val="105"/>
          <w:lang w:val="id-ID"/>
        </w:rPr>
      </w:pPr>
      <w:r w:rsidRPr="0085150B">
        <w:rPr>
          <w:i/>
          <w:color w:val="231F20"/>
          <w:w w:val="105"/>
          <w:lang w:val="id-ID"/>
        </w:rPr>
        <w:t>DY</w:t>
      </w:r>
      <w:r w:rsidRPr="0085150B">
        <w:rPr>
          <w:i/>
          <w:color w:val="231F20"/>
          <w:w w:val="105"/>
          <w:vertAlign w:val="subscript"/>
          <w:lang w:val="id-ID"/>
        </w:rPr>
        <w:t>ij</w:t>
      </w:r>
      <w:r w:rsidRPr="0085150B">
        <w:rPr>
          <w:i/>
          <w:color w:val="231F20"/>
          <w:w w:val="105"/>
          <w:lang w:val="id-ID"/>
        </w:rPr>
        <w:t xml:space="preserve"> = Y</w:t>
      </w:r>
      <w:r w:rsidRPr="0085150B">
        <w:rPr>
          <w:i/>
          <w:color w:val="231F20"/>
          <w:w w:val="105"/>
          <w:vertAlign w:val="subscript"/>
          <w:lang w:val="id-ID"/>
        </w:rPr>
        <w:t>ij</w:t>
      </w:r>
      <w:r w:rsidRPr="0085150B">
        <w:rPr>
          <w:i/>
          <w:color w:val="231F20"/>
          <w:w w:val="105"/>
          <w:lang w:val="id-ID"/>
        </w:rPr>
        <w:t>. r</w:t>
      </w:r>
      <w:r w:rsidRPr="0085150B">
        <w:rPr>
          <w:i/>
          <w:color w:val="231F20"/>
          <w:w w:val="105"/>
          <w:vertAlign w:val="subscript"/>
          <w:lang w:val="id-ID"/>
        </w:rPr>
        <w:t>n</w:t>
      </w:r>
      <w:r w:rsidRPr="0085150B">
        <w:rPr>
          <w:i/>
          <w:color w:val="231F20"/>
          <w:w w:val="105"/>
          <w:lang w:val="id-ID"/>
        </w:rPr>
        <w:t xml:space="preserve"> + y</w:t>
      </w:r>
      <w:r w:rsidRPr="0085150B">
        <w:rPr>
          <w:i/>
          <w:color w:val="231F20"/>
          <w:w w:val="105"/>
          <w:vertAlign w:val="subscript"/>
          <w:lang w:val="id-ID"/>
        </w:rPr>
        <w:t>ij</w:t>
      </w:r>
      <w:r w:rsidRPr="0085150B">
        <w:rPr>
          <w:i/>
          <w:color w:val="231F20"/>
          <w:w w:val="105"/>
          <w:lang w:val="id-ID"/>
        </w:rPr>
        <w:t xml:space="preserve"> (r</w:t>
      </w:r>
      <w:r w:rsidRPr="0085150B">
        <w:rPr>
          <w:i/>
          <w:color w:val="231F20"/>
          <w:w w:val="105"/>
          <w:vertAlign w:val="subscript"/>
          <w:lang w:val="id-ID"/>
        </w:rPr>
        <w:t xml:space="preserve">in </w:t>
      </w:r>
      <w:r w:rsidRPr="0085150B">
        <w:rPr>
          <w:i/>
          <w:color w:val="231F20"/>
          <w:w w:val="105"/>
          <w:lang w:val="id-ID"/>
        </w:rPr>
        <w:t>- r</w:t>
      </w:r>
      <w:r w:rsidRPr="0085150B">
        <w:rPr>
          <w:i/>
          <w:color w:val="231F20"/>
          <w:w w:val="105"/>
          <w:vertAlign w:val="subscript"/>
          <w:lang w:val="id-ID"/>
        </w:rPr>
        <w:t>n</w:t>
      </w:r>
      <w:r w:rsidRPr="0085150B">
        <w:rPr>
          <w:i/>
          <w:color w:val="231F20"/>
          <w:w w:val="105"/>
          <w:lang w:val="id-ID"/>
        </w:rPr>
        <w:t>) + y</w:t>
      </w:r>
      <w:r w:rsidRPr="0085150B">
        <w:rPr>
          <w:i/>
          <w:color w:val="231F20"/>
          <w:w w:val="105"/>
          <w:vertAlign w:val="subscript"/>
          <w:lang w:val="id-ID"/>
        </w:rPr>
        <w:t>ij</w:t>
      </w:r>
      <w:r w:rsidRPr="0085150B">
        <w:rPr>
          <w:i/>
          <w:color w:val="231F20"/>
          <w:w w:val="105"/>
          <w:lang w:val="id-ID"/>
        </w:rPr>
        <w:t xml:space="preserve"> (r</w:t>
      </w:r>
      <w:r w:rsidRPr="0085150B">
        <w:rPr>
          <w:i/>
          <w:color w:val="231F20"/>
          <w:w w:val="105"/>
          <w:vertAlign w:val="subscript"/>
          <w:lang w:val="id-ID"/>
        </w:rPr>
        <w:t>ij</w:t>
      </w:r>
      <w:r w:rsidRPr="0085150B">
        <w:rPr>
          <w:i/>
          <w:color w:val="231F20"/>
          <w:w w:val="105"/>
          <w:lang w:val="id-ID"/>
        </w:rPr>
        <w:t xml:space="preserve"> - r</w:t>
      </w:r>
      <w:r w:rsidRPr="0085150B">
        <w:rPr>
          <w:i/>
          <w:color w:val="231F20"/>
          <w:w w:val="105"/>
          <w:vertAlign w:val="subscript"/>
          <w:lang w:val="id-ID"/>
        </w:rPr>
        <w:t>in</w:t>
      </w:r>
      <w:r w:rsidRPr="0085150B">
        <w:rPr>
          <w:i/>
          <w:color w:val="231F20"/>
          <w:w w:val="105"/>
          <w:lang w:val="id-ID"/>
        </w:rPr>
        <w:t>)</w:t>
      </w:r>
      <w:r>
        <w:rPr>
          <w:color w:val="231F20"/>
          <w:w w:val="105"/>
          <w:lang w:val="id-ID"/>
        </w:rPr>
        <w:t xml:space="preserve"> </w:t>
      </w:r>
      <w:r>
        <w:rPr>
          <w:color w:val="231F20"/>
          <w:w w:val="105"/>
          <w:lang w:val="id-ID"/>
        </w:rPr>
        <w:tab/>
      </w:r>
      <w:r>
        <w:rPr>
          <w:color w:val="231F20"/>
          <w:w w:val="105"/>
          <w:lang w:val="id-ID"/>
        </w:rPr>
        <w:tab/>
        <w:t>(7)</w:t>
      </w:r>
    </w:p>
    <w:p w:rsidR="0085150B" w:rsidRPr="0085150B" w:rsidRDefault="0085150B" w:rsidP="0085150B">
      <w:pPr>
        <w:pStyle w:val="BodyText"/>
        <w:spacing w:line="283" w:lineRule="auto"/>
        <w:ind w:left="130" w:right="38" w:firstLine="12"/>
        <w:jc w:val="both"/>
        <w:rPr>
          <w:color w:val="231F20"/>
          <w:w w:val="105"/>
          <w:lang w:val="id-ID"/>
        </w:rPr>
      </w:pPr>
    </w:p>
    <w:p w:rsidR="00A53CCD" w:rsidRDefault="0085150B" w:rsidP="00A53CCD">
      <w:pPr>
        <w:pStyle w:val="BodyText"/>
        <w:spacing w:line="283" w:lineRule="auto"/>
        <w:ind w:left="130" w:right="38" w:firstLine="154"/>
        <w:jc w:val="both"/>
        <w:rPr>
          <w:color w:val="231F20"/>
          <w:w w:val="105"/>
          <w:lang w:val="id-ID"/>
        </w:rPr>
      </w:pPr>
      <w:r w:rsidRPr="0085150B">
        <w:rPr>
          <w:color w:val="231F20"/>
          <w:w w:val="105"/>
          <w:lang w:val="id-ID"/>
        </w:rPr>
        <w:t>The DY</w:t>
      </w:r>
      <w:r w:rsidRPr="0085150B">
        <w:rPr>
          <w:color w:val="231F20"/>
          <w:w w:val="105"/>
          <w:vertAlign w:val="subscript"/>
          <w:lang w:val="id-ID"/>
        </w:rPr>
        <w:t>ij</w:t>
      </w:r>
      <w:r w:rsidRPr="0085150B">
        <w:rPr>
          <w:color w:val="231F20"/>
          <w:w w:val="105"/>
          <w:lang w:val="id-ID"/>
        </w:rPr>
        <w:t xml:space="preserve"> equation or the Shift-Share (S-S) equation imposes each sector in the Malinau Regency with a growth rate equivalent to the rate achieved by the national economy during the analysis period. This is reflected in equation (C</w:t>
      </w:r>
      <w:r w:rsidRPr="0085150B">
        <w:rPr>
          <w:color w:val="231F20"/>
          <w:w w:val="105"/>
          <w:vertAlign w:val="subscript"/>
          <w:lang w:val="id-ID"/>
        </w:rPr>
        <w:t>ij</w:t>
      </w:r>
      <w:r w:rsidRPr="0085150B">
        <w:rPr>
          <w:color w:val="231F20"/>
          <w:w w:val="105"/>
          <w:lang w:val="id-ID"/>
        </w:rPr>
        <w:t>)</w:t>
      </w:r>
      <w:r w:rsidR="00D30C5C">
        <w:rPr>
          <w:color w:val="FF0000"/>
          <w:w w:val="105"/>
        </w:rPr>
        <w:t>,</w:t>
      </w:r>
      <w:r w:rsidRPr="0085150B">
        <w:rPr>
          <w:color w:val="231F20"/>
          <w:w w:val="105"/>
          <w:lang w:val="id-ID"/>
        </w:rPr>
        <w:t xml:space="preserve"> which shows that the Malinau Regency region and sectors should at least grow at the national growth rate, namely r</w:t>
      </w:r>
      <w:r w:rsidRPr="0085150B">
        <w:rPr>
          <w:color w:val="231F20"/>
          <w:w w:val="105"/>
          <w:vertAlign w:val="subscript"/>
          <w:lang w:val="id-ID"/>
        </w:rPr>
        <w:t>n</w:t>
      </w:r>
      <w:r w:rsidRPr="0085150B">
        <w:rPr>
          <w:color w:val="231F20"/>
          <w:w w:val="105"/>
          <w:lang w:val="id-ID"/>
        </w:rPr>
        <w:t>.</w:t>
      </w:r>
    </w:p>
    <w:p w:rsidR="00F76DBE" w:rsidRDefault="00094EF0" w:rsidP="00A53CCD">
      <w:pPr>
        <w:pStyle w:val="BodyText"/>
        <w:spacing w:line="283" w:lineRule="auto"/>
        <w:ind w:left="130" w:right="38" w:firstLine="154"/>
        <w:jc w:val="both"/>
        <w:rPr>
          <w:color w:val="231F20"/>
          <w:w w:val="105"/>
          <w:lang w:val="id-ID"/>
        </w:rPr>
      </w:pPr>
      <w:r w:rsidRPr="00094EF0">
        <w:rPr>
          <w:color w:val="231F20"/>
          <w:w w:val="105"/>
          <w:lang w:val="id-ID"/>
        </w:rPr>
        <w:t xml:space="preserve">In measuring the comparative advantage level or day power of an export commodity from Malinau Regency </w:t>
      </w:r>
      <w:r w:rsidR="00D30C5C">
        <w:rPr>
          <w:color w:val="FF0000"/>
          <w:w w:val="105"/>
        </w:rPr>
        <w:t xml:space="preserve">as </w:t>
      </w:r>
      <w:r w:rsidRPr="00094EF0">
        <w:rPr>
          <w:color w:val="231F20"/>
          <w:w w:val="105"/>
          <w:lang w:val="id-ID"/>
        </w:rPr>
        <w:t>compared to the same quantity at the North Kalimantan Province level, the Revealed Comparative Advantage (RCA) index formula is used as follows:</w:t>
      </w:r>
    </w:p>
    <w:p w:rsidR="00094EF0" w:rsidRDefault="00094EF0" w:rsidP="00792286">
      <w:pPr>
        <w:pStyle w:val="BodyText"/>
        <w:spacing w:before="1" w:line="283" w:lineRule="auto"/>
        <w:ind w:right="87"/>
        <w:jc w:val="both"/>
        <w:rPr>
          <w:color w:val="231F20"/>
          <w:w w:val="105"/>
          <w:lang w:val="id-ID"/>
        </w:rPr>
      </w:pPr>
    </w:p>
    <w:p w:rsidR="00094EF0" w:rsidRPr="00094EF0" w:rsidRDefault="00987A4F" w:rsidP="00A53CCD">
      <w:pPr>
        <w:pStyle w:val="BodyText"/>
        <w:spacing w:line="283" w:lineRule="auto"/>
        <w:ind w:left="142" w:right="38"/>
        <w:jc w:val="both"/>
        <w:rPr>
          <w:color w:val="231F20"/>
          <w:w w:val="105"/>
          <w:lang w:val="id-ID"/>
        </w:rPr>
      </w:pPr>
      <w:r>
        <w:rPr>
          <w:i/>
          <w:noProof/>
          <w:color w:val="231F20"/>
          <w:lang w:eastAsia="ko-KR"/>
        </w:rPr>
        <mc:AlternateContent>
          <mc:Choice Requires="wps">
            <w:drawing>
              <wp:anchor distT="0" distB="0" distL="114300" distR="114300" simplePos="0" relativeHeight="487601152" behindDoc="0" locked="0" layoutInCell="1" allowOverlap="1" wp14:anchorId="22498ED5" wp14:editId="7AF94064">
                <wp:simplePos x="0" y="0"/>
                <wp:positionH relativeFrom="column">
                  <wp:posOffset>467995</wp:posOffset>
                </wp:positionH>
                <wp:positionV relativeFrom="paragraph">
                  <wp:posOffset>129763</wp:posOffset>
                </wp:positionV>
                <wp:extent cx="451262" cy="0"/>
                <wp:effectExtent l="0" t="0" r="25400" b="19050"/>
                <wp:wrapNone/>
                <wp:docPr id="185" name="Straight Connector 185"/>
                <wp:cNvGraphicFramePr/>
                <a:graphic xmlns:a="http://schemas.openxmlformats.org/drawingml/2006/main">
                  <a:graphicData uri="http://schemas.microsoft.com/office/word/2010/wordprocessingShape">
                    <wps:wsp>
                      <wps:cNvCnPr/>
                      <wps:spPr>
                        <a:xfrm>
                          <a:off x="0" y="0"/>
                          <a:ext cx="4512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745844" id="Straight Connector 185" o:spid="_x0000_s1026" style="position:absolute;z-index:487601152;visibility:visible;mso-wrap-style:square;mso-wrap-distance-left:9pt;mso-wrap-distance-top:0;mso-wrap-distance-right:9pt;mso-wrap-distance-bottom:0;mso-position-horizontal:absolute;mso-position-horizontal-relative:text;mso-position-vertical:absolute;mso-position-vertical-relative:text" from="36.85pt,10.2pt" to="72.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" strokecolor="black [3213]" strokeweight=".5pt"/>
            </w:pict>
          </mc:Fallback>
        </mc:AlternateContent>
      </w:r>
      <w:r w:rsidR="00094EF0" w:rsidRPr="00094EF0">
        <w:rPr>
          <w:i/>
          <w:color w:val="231F20"/>
          <w:w w:val="105"/>
          <w:lang w:val="id-ID"/>
        </w:rPr>
        <w:t>RCA =   X</w:t>
      </w:r>
      <w:r w:rsidR="00094EF0" w:rsidRPr="00094EF0">
        <w:rPr>
          <w:i/>
          <w:color w:val="231F20"/>
          <w:w w:val="105"/>
          <w:vertAlign w:val="subscript"/>
          <w:lang w:val="id-ID"/>
        </w:rPr>
        <w:t>ik</w:t>
      </w:r>
      <w:r w:rsidR="00094EF0" w:rsidRPr="00094EF0">
        <w:rPr>
          <w:i/>
          <w:color w:val="231F20"/>
          <w:w w:val="105"/>
          <w:lang w:val="id-ID"/>
        </w:rPr>
        <w:t xml:space="preserve"> / X</w:t>
      </w:r>
      <w:r w:rsidR="00094EF0" w:rsidRPr="00094EF0">
        <w:rPr>
          <w:i/>
          <w:color w:val="231F20"/>
          <w:w w:val="105"/>
          <w:vertAlign w:val="subscript"/>
          <w:lang w:val="id-ID"/>
        </w:rPr>
        <w:t>im</w:t>
      </w:r>
      <w:r w:rsidR="00094EF0" w:rsidRPr="00094EF0">
        <w:rPr>
          <w:color w:val="231F20"/>
          <w:w w:val="105"/>
          <w:vertAlign w:val="subscript"/>
          <w:lang w:val="id-ID"/>
        </w:rPr>
        <w:t xml:space="preserve"> </w:t>
      </w:r>
      <w:r w:rsidR="00094EF0" w:rsidRPr="00094EF0">
        <w:rPr>
          <w:color w:val="231F20"/>
          <w:w w:val="105"/>
          <w:lang w:val="id-ID"/>
        </w:rPr>
        <w:tab/>
      </w:r>
      <w:r w:rsidR="00094EF0">
        <w:rPr>
          <w:color w:val="231F20"/>
          <w:w w:val="105"/>
          <w:lang w:val="id-ID"/>
        </w:rPr>
        <w:tab/>
      </w:r>
      <w:r w:rsidR="00094EF0">
        <w:rPr>
          <w:color w:val="231F20"/>
          <w:w w:val="105"/>
          <w:lang w:val="id-ID"/>
        </w:rPr>
        <w:tab/>
      </w:r>
      <w:r w:rsidR="00094EF0">
        <w:rPr>
          <w:color w:val="231F20"/>
          <w:w w:val="105"/>
          <w:lang w:val="id-ID"/>
        </w:rPr>
        <w:tab/>
        <w:t>(8)</w:t>
      </w:r>
    </w:p>
    <w:p w:rsidR="00094EF0" w:rsidRPr="00094EF0" w:rsidRDefault="00094EF0" w:rsidP="00094EF0">
      <w:pPr>
        <w:pStyle w:val="BodyText"/>
        <w:spacing w:line="283" w:lineRule="auto"/>
        <w:ind w:left="130" w:right="38" w:firstLine="12"/>
        <w:jc w:val="both"/>
        <w:rPr>
          <w:i/>
          <w:color w:val="231F20"/>
          <w:w w:val="105"/>
          <w:lang w:val="id-ID"/>
        </w:rPr>
      </w:pPr>
      <w:r>
        <w:rPr>
          <w:color w:val="231F20"/>
          <w:w w:val="105"/>
          <w:lang w:val="id-ID"/>
        </w:rPr>
        <w:t xml:space="preserve">            </w:t>
      </w:r>
      <w:r w:rsidRPr="00094EF0">
        <w:rPr>
          <w:i/>
          <w:color w:val="231F20"/>
          <w:w w:val="105"/>
          <w:lang w:val="id-ID"/>
        </w:rPr>
        <w:t>X</w:t>
      </w:r>
      <w:r w:rsidRPr="00094EF0">
        <w:rPr>
          <w:i/>
          <w:color w:val="231F20"/>
          <w:w w:val="105"/>
          <w:vertAlign w:val="subscript"/>
          <w:lang w:val="id-ID"/>
        </w:rPr>
        <w:t>wk</w:t>
      </w:r>
      <w:r w:rsidRPr="00094EF0">
        <w:rPr>
          <w:i/>
          <w:color w:val="231F20"/>
          <w:w w:val="105"/>
          <w:lang w:val="id-ID"/>
        </w:rPr>
        <w:t xml:space="preserve"> / X</w:t>
      </w:r>
      <w:r w:rsidRPr="00094EF0">
        <w:rPr>
          <w:i/>
          <w:color w:val="231F20"/>
          <w:w w:val="105"/>
          <w:vertAlign w:val="subscript"/>
          <w:lang w:val="id-ID"/>
        </w:rPr>
        <w:t>wm</w:t>
      </w:r>
    </w:p>
    <w:p w:rsidR="00094EF0" w:rsidRDefault="00094EF0" w:rsidP="00094EF0">
      <w:pPr>
        <w:pStyle w:val="BodyText"/>
        <w:spacing w:before="1" w:line="283" w:lineRule="auto"/>
        <w:ind w:right="87"/>
        <w:jc w:val="both"/>
        <w:rPr>
          <w:color w:val="231F20"/>
          <w:w w:val="105"/>
          <w:lang w:val="id-ID"/>
        </w:rPr>
      </w:pPr>
    </w:p>
    <w:p w:rsidR="00792286" w:rsidRDefault="00792286" w:rsidP="00094EF0">
      <w:pPr>
        <w:pStyle w:val="BodyText"/>
        <w:spacing w:before="1" w:line="283" w:lineRule="auto"/>
        <w:ind w:right="87"/>
        <w:jc w:val="both"/>
        <w:rPr>
          <w:color w:val="231F20"/>
          <w:w w:val="105"/>
          <w:lang w:val="id-ID"/>
        </w:rPr>
      </w:pPr>
    </w:p>
    <w:p w:rsidR="00A53CCD" w:rsidRPr="00094EF0" w:rsidRDefault="00987A4F" w:rsidP="00F8377E">
      <w:pPr>
        <w:pStyle w:val="BodyText"/>
        <w:spacing w:line="283" w:lineRule="auto"/>
        <w:ind w:left="142" w:right="38" w:firstLine="12"/>
        <w:jc w:val="both"/>
        <w:rPr>
          <w:color w:val="231F20"/>
          <w:w w:val="105"/>
          <w:lang w:val="id-ID"/>
        </w:rPr>
      </w:pPr>
      <w:r>
        <w:rPr>
          <w:color w:val="231F20"/>
          <w:w w:val="105"/>
          <w:lang w:val="id-ID"/>
        </w:rPr>
        <w:t>w</w:t>
      </w:r>
      <w:r w:rsidR="00094EF0" w:rsidRPr="00094EF0">
        <w:rPr>
          <w:color w:val="231F20"/>
          <w:w w:val="105"/>
          <w:lang w:val="id-ID"/>
        </w:rPr>
        <w:t>here</w:t>
      </w:r>
      <w:r w:rsidR="00094EF0">
        <w:rPr>
          <w:color w:val="231F20"/>
          <w:w w:val="105"/>
          <w:lang w:val="id-ID"/>
        </w:rPr>
        <w:t xml:space="preserve">, </w:t>
      </w:r>
      <w:r w:rsidR="00094EF0" w:rsidRPr="00094EF0">
        <w:rPr>
          <w:color w:val="231F20"/>
          <w:w w:val="105"/>
          <w:lang w:val="id-ID"/>
        </w:rPr>
        <w:t>X</w:t>
      </w:r>
      <w:r w:rsidR="00094EF0" w:rsidRPr="00094EF0">
        <w:rPr>
          <w:color w:val="231F20"/>
          <w:w w:val="105"/>
          <w:vertAlign w:val="subscript"/>
          <w:lang w:val="id-ID"/>
        </w:rPr>
        <w:t>ik</w:t>
      </w:r>
      <w:r>
        <w:rPr>
          <w:color w:val="231F20"/>
          <w:w w:val="105"/>
          <w:vertAlign w:val="subscript"/>
          <w:lang w:val="id-ID"/>
        </w:rPr>
        <w:t xml:space="preserve"> </w:t>
      </w:r>
      <w:r w:rsidR="001B4D9F">
        <w:rPr>
          <w:color w:val="231F20"/>
          <w:w w:val="105"/>
          <w:lang w:val="id-ID"/>
        </w:rPr>
        <w:t>is</w:t>
      </w:r>
      <w:r w:rsidR="00094EF0" w:rsidRPr="00094EF0">
        <w:rPr>
          <w:color w:val="231F20"/>
          <w:w w:val="105"/>
          <w:lang w:val="id-ID"/>
        </w:rPr>
        <w:t xml:space="preserve"> </w:t>
      </w:r>
      <w:r>
        <w:rPr>
          <w:color w:val="231F20"/>
          <w:w w:val="105"/>
          <w:lang w:val="id-ID"/>
        </w:rPr>
        <w:t>v</w:t>
      </w:r>
      <w:r w:rsidR="00094EF0" w:rsidRPr="00094EF0">
        <w:rPr>
          <w:color w:val="231F20"/>
          <w:w w:val="105"/>
          <w:lang w:val="id-ID"/>
        </w:rPr>
        <w:t xml:space="preserve">alue of commodity exports (i) from Regency </w:t>
      </w:r>
      <w:r w:rsidR="00094EF0">
        <w:rPr>
          <w:color w:val="231F20"/>
          <w:w w:val="105"/>
          <w:lang w:val="id-ID"/>
        </w:rPr>
        <w:t>Malinau; X</w:t>
      </w:r>
      <w:r w:rsidR="00094EF0" w:rsidRPr="00094EF0">
        <w:rPr>
          <w:color w:val="231F20"/>
          <w:w w:val="105"/>
          <w:vertAlign w:val="subscript"/>
          <w:lang w:val="id-ID"/>
        </w:rPr>
        <w:t>im</w:t>
      </w:r>
      <w:r>
        <w:rPr>
          <w:color w:val="231F20"/>
          <w:w w:val="105"/>
          <w:vertAlign w:val="subscript"/>
          <w:lang w:val="id-ID"/>
        </w:rPr>
        <w:t xml:space="preserve"> </w:t>
      </w:r>
      <w:r w:rsidR="001B4D9F">
        <w:rPr>
          <w:color w:val="231F20"/>
          <w:w w:val="105"/>
          <w:lang w:val="id-ID"/>
        </w:rPr>
        <w:t>is</w:t>
      </w:r>
      <w:r w:rsidR="00094EF0">
        <w:rPr>
          <w:color w:val="231F20"/>
          <w:w w:val="105"/>
          <w:lang w:val="id-ID"/>
        </w:rPr>
        <w:t xml:space="preserve"> </w:t>
      </w:r>
      <w:r>
        <w:rPr>
          <w:color w:val="231F20"/>
          <w:w w:val="105"/>
          <w:lang w:val="id-ID"/>
        </w:rPr>
        <w:t>t</w:t>
      </w:r>
      <w:r w:rsidR="00094EF0" w:rsidRPr="00094EF0">
        <w:rPr>
          <w:color w:val="231F20"/>
          <w:w w:val="105"/>
          <w:lang w:val="id-ID"/>
        </w:rPr>
        <w:t xml:space="preserve">he export value of all commodities from </w:t>
      </w:r>
      <w:r w:rsidR="00094EF0">
        <w:rPr>
          <w:color w:val="231F20"/>
          <w:w w:val="105"/>
          <w:lang w:val="id-ID"/>
        </w:rPr>
        <w:t xml:space="preserve">Malinau Regency; </w:t>
      </w:r>
      <w:r w:rsidR="00094EF0" w:rsidRPr="00094EF0">
        <w:rPr>
          <w:color w:val="231F20"/>
          <w:w w:val="105"/>
          <w:lang w:val="id-ID"/>
        </w:rPr>
        <w:t>X</w:t>
      </w:r>
      <w:r w:rsidR="00094EF0" w:rsidRPr="00094EF0">
        <w:rPr>
          <w:color w:val="231F20"/>
          <w:w w:val="105"/>
          <w:vertAlign w:val="subscript"/>
          <w:lang w:val="id-ID"/>
        </w:rPr>
        <w:t>wk</w:t>
      </w:r>
      <w:r>
        <w:rPr>
          <w:color w:val="231F20"/>
          <w:w w:val="105"/>
          <w:vertAlign w:val="subscript"/>
          <w:lang w:val="id-ID"/>
        </w:rPr>
        <w:t xml:space="preserve"> </w:t>
      </w:r>
      <w:r w:rsidR="001B4D9F">
        <w:rPr>
          <w:color w:val="231F20"/>
          <w:w w:val="105"/>
          <w:lang w:val="id-ID"/>
        </w:rPr>
        <w:t>is</w:t>
      </w:r>
      <w:r w:rsidR="00094EF0" w:rsidRPr="00094EF0">
        <w:rPr>
          <w:color w:val="231F20"/>
          <w:w w:val="105"/>
          <w:lang w:val="id-ID"/>
        </w:rPr>
        <w:t xml:space="preserve"> </w:t>
      </w:r>
      <w:r w:rsidR="00094EF0">
        <w:rPr>
          <w:color w:val="231F20"/>
          <w:w w:val="105"/>
          <w:lang w:val="id-ID"/>
        </w:rPr>
        <w:t>v</w:t>
      </w:r>
      <w:r w:rsidR="00094EF0" w:rsidRPr="00094EF0">
        <w:rPr>
          <w:color w:val="231F20"/>
          <w:w w:val="105"/>
          <w:lang w:val="id-ID"/>
        </w:rPr>
        <w:t xml:space="preserve">alue of commodity exports (i) from all </w:t>
      </w:r>
      <w:r w:rsidR="00094EF0">
        <w:rPr>
          <w:color w:val="231F20"/>
          <w:w w:val="105"/>
          <w:lang w:val="id-ID"/>
        </w:rPr>
        <w:t>areas</w:t>
      </w:r>
      <w:r>
        <w:rPr>
          <w:color w:val="231F20"/>
          <w:w w:val="105"/>
          <w:lang w:val="id-ID"/>
        </w:rPr>
        <w:t xml:space="preserve"> North Kalimantan;</w:t>
      </w:r>
      <w:r w:rsidR="00D30C5C">
        <w:rPr>
          <w:color w:val="231F20"/>
          <w:w w:val="105"/>
        </w:rPr>
        <w:t xml:space="preserve"> </w:t>
      </w:r>
      <w:r w:rsidR="00D30C5C">
        <w:rPr>
          <w:color w:val="FF0000"/>
          <w:w w:val="105"/>
        </w:rPr>
        <w:t>and</w:t>
      </w:r>
      <w:r>
        <w:rPr>
          <w:color w:val="231F20"/>
          <w:w w:val="105"/>
          <w:lang w:val="id-ID"/>
        </w:rPr>
        <w:t xml:space="preserve"> </w:t>
      </w:r>
      <w:r w:rsidR="00094EF0" w:rsidRPr="00094EF0">
        <w:rPr>
          <w:color w:val="231F20"/>
          <w:w w:val="105"/>
          <w:lang w:val="id-ID"/>
        </w:rPr>
        <w:t>X</w:t>
      </w:r>
      <w:r w:rsidR="00094EF0" w:rsidRPr="00987A4F">
        <w:rPr>
          <w:color w:val="231F20"/>
          <w:w w:val="105"/>
          <w:vertAlign w:val="subscript"/>
          <w:lang w:val="id-ID"/>
        </w:rPr>
        <w:t>wm</w:t>
      </w:r>
      <w:r>
        <w:rPr>
          <w:color w:val="231F20"/>
          <w:w w:val="105"/>
          <w:vertAlign w:val="subscript"/>
          <w:lang w:val="id-ID"/>
        </w:rPr>
        <w:t xml:space="preserve"> </w:t>
      </w:r>
      <w:r w:rsidR="001B4D9F">
        <w:rPr>
          <w:color w:val="231F20"/>
          <w:w w:val="105"/>
          <w:lang w:val="id-ID"/>
        </w:rPr>
        <w:t>is</w:t>
      </w:r>
      <w:r>
        <w:rPr>
          <w:color w:val="231F20"/>
          <w:w w:val="105"/>
          <w:lang w:val="id-ID"/>
        </w:rPr>
        <w:t xml:space="preserve"> t</w:t>
      </w:r>
      <w:r w:rsidR="00094EF0" w:rsidRPr="00094EF0">
        <w:rPr>
          <w:color w:val="231F20"/>
          <w:w w:val="105"/>
          <w:lang w:val="id-ID"/>
        </w:rPr>
        <w:t>he export value of all commodities from North Kalimantan</w:t>
      </w:r>
      <w:r>
        <w:rPr>
          <w:color w:val="231F20"/>
          <w:w w:val="105"/>
          <w:lang w:val="id-ID"/>
        </w:rPr>
        <w:t xml:space="preserve"> Province</w:t>
      </w:r>
      <w:r w:rsidR="00094EF0" w:rsidRPr="00094EF0">
        <w:rPr>
          <w:color w:val="231F20"/>
          <w:w w:val="105"/>
          <w:lang w:val="id-ID"/>
        </w:rPr>
        <w:t>.</w:t>
      </w:r>
    </w:p>
    <w:p w:rsidR="00C04DEA" w:rsidRDefault="00987A4F" w:rsidP="009F4A42">
      <w:pPr>
        <w:pStyle w:val="BodyText"/>
        <w:spacing w:before="1" w:line="283" w:lineRule="auto"/>
        <w:ind w:right="87" w:firstLine="170"/>
        <w:jc w:val="both"/>
        <w:rPr>
          <w:color w:val="231F20"/>
          <w:w w:val="105"/>
          <w:lang w:val="id-ID"/>
        </w:rPr>
      </w:pPr>
      <w:r w:rsidRPr="00D30C5C">
        <w:rPr>
          <w:color w:val="231F20"/>
          <w:w w:val="105"/>
          <w:highlight w:val="yellow"/>
          <w:lang w:val="id-ID"/>
        </w:rPr>
        <w:t xml:space="preserve">The statement, indicates if </w:t>
      </w:r>
      <w:r w:rsidR="00094EF0" w:rsidRPr="00D30C5C">
        <w:rPr>
          <w:color w:val="231F20"/>
          <w:w w:val="105"/>
          <w:highlight w:val="yellow"/>
          <w:lang w:val="id-ID"/>
        </w:rPr>
        <w:t xml:space="preserve">RCA &lt;1, means that export commodities in Malinau Regency </w:t>
      </w:r>
      <w:r w:rsidRPr="00D30C5C">
        <w:rPr>
          <w:color w:val="231F20"/>
          <w:w w:val="105"/>
          <w:highlight w:val="yellow"/>
          <w:lang w:val="id-ID"/>
        </w:rPr>
        <w:t>do not have a competitive edge</w:t>
      </w:r>
      <w:r w:rsidR="00D30C5C">
        <w:rPr>
          <w:color w:val="FF0000"/>
          <w:w w:val="105"/>
        </w:rPr>
        <w:t>--rephrase</w:t>
      </w:r>
      <w:r>
        <w:rPr>
          <w:color w:val="231F20"/>
          <w:w w:val="105"/>
          <w:lang w:val="id-ID"/>
        </w:rPr>
        <w:t xml:space="preserve">. </w:t>
      </w:r>
      <w:r w:rsidR="00094EF0" w:rsidRPr="00094EF0">
        <w:rPr>
          <w:color w:val="231F20"/>
          <w:w w:val="105"/>
          <w:lang w:val="id-ID"/>
        </w:rPr>
        <w:t>RCA = 1</w:t>
      </w:r>
      <w:r w:rsidR="00094EF0" w:rsidRPr="00D30C5C">
        <w:rPr>
          <w:strike/>
          <w:color w:val="FF0000"/>
          <w:w w:val="105"/>
          <w:lang w:val="id-ID"/>
        </w:rPr>
        <w:t xml:space="preserve">, </w:t>
      </w:r>
      <w:r w:rsidR="00094EF0" w:rsidRPr="00094EF0">
        <w:rPr>
          <w:color w:val="231F20"/>
          <w:w w:val="105"/>
          <w:lang w:val="id-ID"/>
        </w:rPr>
        <w:t xml:space="preserve">indicates that export commodities in Malinau </w:t>
      </w:r>
      <w:r>
        <w:rPr>
          <w:color w:val="231F20"/>
          <w:w w:val="105"/>
          <w:lang w:val="id-ID"/>
        </w:rPr>
        <w:t>Regency</w:t>
      </w:r>
      <w:r w:rsidR="00094EF0" w:rsidRPr="00094EF0">
        <w:rPr>
          <w:color w:val="231F20"/>
          <w:w w:val="105"/>
          <w:lang w:val="id-ID"/>
        </w:rPr>
        <w:t xml:space="preserve"> have the same comparative advantage as th</w:t>
      </w:r>
      <w:r>
        <w:rPr>
          <w:color w:val="231F20"/>
          <w:w w:val="105"/>
          <w:lang w:val="id-ID"/>
        </w:rPr>
        <w:t xml:space="preserve">e Province of North Kalimantan. </w:t>
      </w:r>
      <w:r w:rsidR="00094EF0" w:rsidRPr="00094EF0">
        <w:rPr>
          <w:color w:val="231F20"/>
          <w:w w:val="105"/>
          <w:lang w:val="id-ID"/>
        </w:rPr>
        <w:t>RCA&gt; 1</w:t>
      </w:r>
      <w:r w:rsidR="00094EF0" w:rsidRPr="00D30C5C">
        <w:rPr>
          <w:strike/>
          <w:color w:val="FF0000"/>
          <w:w w:val="105"/>
          <w:lang w:val="id-ID"/>
        </w:rPr>
        <w:t xml:space="preserve">, </w:t>
      </w:r>
      <w:r w:rsidR="00094EF0" w:rsidRPr="00094EF0">
        <w:rPr>
          <w:color w:val="231F20"/>
          <w:w w:val="105"/>
          <w:lang w:val="id-ID"/>
        </w:rPr>
        <w:t>means that the export commodities in Malinau Regency have a comparative advantage that is higher than the comparative advantage of the same commodity exports at the level of North Kalimantan Province.</w:t>
      </w:r>
    </w:p>
    <w:p w:rsidR="00A53CCD" w:rsidRDefault="00A53CCD" w:rsidP="00A53CCD">
      <w:pPr>
        <w:pStyle w:val="BodyText"/>
        <w:spacing w:before="1" w:line="283" w:lineRule="auto"/>
        <w:ind w:right="85"/>
        <w:jc w:val="both"/>
        <w:rPr>
          <w:color w:val="231F20"/>
          <w:w w:val="105"/>
          <w:lang w:val="id-ID"/>
        </w:rPr>
      </w:pPr>
    </w:p>
    <w:p w:rsidR="00A53CCD" w:rsidRPr="009F4A42" w:rsidRDefault="00A53CCD" w:rsidP="00A53CCD">
      <w:pPr>
        <w:pStyle w:val="BodyText"/>
        <w:spacing w:before="1" w:line="283" w:lineRule="auto"/>
        <w:ind w:right="85"/>
        <w:jc w:val="both"/>
        <w:rPr>
          <w:color w:val="231F20"/>
          <w:w w:val="105"/>
          <w:lang w:val="id-ID"/>
        </w:rPr>
      </w:pPr>
    </w:p>
    <w:p w:rsidR="009637D2" w:rsidRPr="009637D2" w:rsidRDefault="009F4A42" w:rsidP="009637D2">
      <w:pPr>
        <w:pStyle w:val="Heading1"/>
        <w:numPr>
          <w:ilvl w:val="0"/>
          <w:numId w:val="5"/>
        </w:numPr>
        <w:tabs>
          <w:tab w:val="left" w:pos="391"/>
        </w:tabs>
        <w:spacing w:before="98"/>
      </w:pPr>
      <w:r w:rsidRPr="00AA032D">
        <w:rPr>
          <w:color w:val="231F20"/>
        </w:rPr>
        <w:t>Re</w:t>
      </w:r>
      <w:r>
        <w:rPr>
          <w:color w:val="231F20"/>
          <w:lang w:val="id-ID"/>
        </w:rPr>
        <w:t>sults and</w:t>
      </w:r>
      <w:r w:rsidRPr="009F4A42">
        <w:t xml:space="preserve"> </w:t>
      </w:r>
      <w:r w:rsidRPr="009F4A42">
        <w:rPr>
          <w:color w:val="231F20"/>
          <w:lang w:val="id-ID"/>
        </w:rPr>
        <w:t>Discussion</w:t>
      </w:r>
    </w:p>
    <w:p w:rsidR="009637D2" w:rsidRDefault="009637D2" w:rsidP="009637D2">
      <w:pPr>
        <w:pStyle w:val="Heading2"/>
        <w:numPr>
          <w:ilvl w:val="1"/>
          <w:numId w:val="5"/>
        </w:numPr>
        <w:tabs>
          <w:tab w:val="left" w:pos="647"/>
        </w:tabs>
        <w:spacing w:before="212"/>
      </w:pPr>
      <w:r w:rsidRPr="009637D2">
        <w:rPr>
          <w:color w:val="231F20"/>
          <w:w w:val="105"/>
          <w:lang w:val="id-ID"/>
        </w:rPr>
        <w:t>Calculation of Location Quotient Analysis (LQ)</w:t>
      </w:r>
    </w:p>
    <w:p w:rsidR="009637D2" w:rsidRDefault="009637D2" w:rsidP="009637D2">
      <w:pPr>
        <w:pStyle w:val="BodyText"/>
        <w:spacing w:before="10"/>
        <w:rPr>
          <w:b/>
          <w:sz w:val="18"/>
        </w:rPr>
      </w:pPr>
    </w:p>
    <w:p w:rsidR="009637D2" w:rsidRDefault="009637D2" w:rsidP="009637D2">
      <w:pPr>
        <w:pStyle w:val="BodyText"/>
        <w:spacing w:before="1" w:line="283" w:lineRule="auto"/>
        <w:ind w:left="130" w:right="87" w:firstLine="170"/>
        <w:jc w:val="both"/>
        <w:rPr>
          <w:lang w:val="id-ID"/>
        </w:rPr>
      </w:pPr>
      <w:r w:rsidRPr="009637D2">
        <w:rPr>
          <w:lang w:val="id-ID"/>
        </w:rPr>
        <w:t xml:space="preserve">The complete LQ calculation results for each sector in Malinau can be seen in </w:t>
      </w:r>
      <w:r w:rsidRPr="009637D2">
        <w:rPr>
          <w:i/>
          <w:lang w:val="id-ID"/>
        </w:rPr>
        <w:t>Table 1</w:t>
      </w:r>
      <w:r w:rsidRPr="009637D2">
        <w:rPr>
          <w:lang w:val="id-ID"/>
        </w:rPr>
        <w:t>.</w:t>
      </w:r>
    </w:p>
    <w:p w:rsidR="009637D2" w:rsidRDefault="009637D2" w:rsidP="009637D2">
      <w:pPr>
        <w:pStyle w:val="BodyText"/>
        <w:spacing w:before="1" w:line="283" w:lineRule="auto"/>
        <w:ind w:left="130" w:right="87" w:firstLine="170"/>
        <w:jc w:val="both"/>
        <w:rPr>
          <w:lang w:val="id-ID"/>
        </w:rPr>
      </w:pPr>
    </w:p>
    <w:p w:rsidR="00E06274" w:rsidRDefault="009637D2" w:rsidP="00E06274">
      <w:pPr>
        <w:pStyle w:val="BodyText"/>
        <w:spacing w:before="1" w:line="283" w:lineRule="auto"/>
        <w:ind w:left="130" w:right="87"/>
        <w:jc w:val="center"/>
        <w:rPr>
          <w:color w:val="231F20"/>
          <w:w w:val="105"/>
          <w:sz w:val="15"/>
          <w:szCs w:val="15"/>
          <w:lang w:val="id-ID"/>
        </w:rPr>
      </w:pPr>
      <w:r w:rsidRPr="009637D2">
        <w:rPr>
          <w:b/>
          <w:color w:val="231F20"/>
          <w:w w:val="105"/>
          <w:sz w:val="15"/>
          <w:szCs w:val="15"/>
          <w:lang w:val="id-ID"/>
        </w:rPr>
        <w:t>Table 1</w:t>
      </w:r>
      <w:r w:rsidR="00E06274">
        <w:rPr>
          <w:color w:val="231F20"/>
          <w:w w:val="105"/>
          <w:sz w:val="15"/>
          <w:szCs w:val="15"/>
          <w:lang w:val="id-ID"/>
        </w:rPr>
        <w:t xml:space="preserve">: Average LQ Results by Economic Sector </w:t>
      </w:r>
    </w:p>
    <w:p w:rsidR="009637D2" w:rsidRPr="009637D2" w:rsidRDefault="00E06274" w:rsidP="00E06274">
      <w:pPr>
        <w:pStyle w:val="BodyText"/>
        <w:spacing w:before="1" w:line="283" w:lineRule="auto"/>
        <w:ind w:left="130" w:right="87"/>
        <w:jc w:val="center"/>
        <w:rPr>
          <w:color w:val="231F20"/>
          <w:w w:val="105"/>
          <w:sz w:val="15"/>
          <w:szCs w:val="15"/>
          <w:lang w:val="id-ID"/>
        </w:rPr>
      </w:pPr>
      <w:r>
        <w:rPr>
          <w:color w:val="231F20"/>
          <w:w w:val="105"/>
          <w:sz w:val="15"/>
          <w:szCs w:val="15"/>
          <w:lang w:val="id-ID"/>
        </w:rPr>
        <w:t xml:space="preserve">in </w:t>
      </w:r>
      <w:r w:rsidRPr="00E06274">
        <w:rPr>
          <w:color w:val="231F20"/>
          <w:w w:val="105"/>
          <w:sz w:val="15"/>
          <w:szCs w:val="15"/>
          <w:lang w:val="id-ID"/>
        </w:rPr>
        <w:t>Malinau Regency</w:t>
      </w:r>
      <w:r>
        <w:rPr>
          <w:color w:val="231F20"/>
          <w:w w:val="105"/>
          <w:sz w:val="15"/>
          <w:szCs w:val="15"/>
          <w:lang w:val="id-ID"/>
        </w:rPr>
        <w:t>,</w:t>
      </w:r>
      <w:r w:rsidRPr="00E06274">
        <w:rPr>
          <w:color w:val="231F20"/>
          <w:w w:val="105"/>
          <w:sz w:val="15"/>
          <w:szCs w:val="15"/>
          <w:lang w:val="id-ID"/>
        </w:rPr>
        <w:t xml:space="preserve"> </w:t>
      </w:r>
      <w:r w:rsidR="009637D2" w:rsidRPr="009637D2">
        <w:rPr>
          <w:color w:val="231F20"/>
          <w:w w:val="105"/>
          <w:sz w:val="15"/>
          <w:szCs w:val="15"/>
          <w:lang w:val="id-ID"/>
        </w:rPr>
        <w:t>2009-2018</w:t>
      </w:r>
    </w:p>
    <w:tbl>
      <w:tblPr>
        <w:tblW w:w="4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6"/>
        <w:gridCol w:w="1274"/>
      </w:tblGrid>
      <w:tr w:rsidR="009637D2" w:rsidRPr="009637D2" w:rsidTr="00017ABD">
        <w:trPr>
          <w:trHeight w:val="145"/>
          <w:jc w:val="center"/>
        </w:trPr>
        <w:tc>
          <w:tcPr>
            <w:tcW w:w="3546" w:type="dxa"/>
            <w:shd w:val="clear" w:color="auto" w:fill="F2F2F2" w:themeFill="background1" w:themeFillShade="F2"/>
            <w:vAlign w:val="center"/>
          </w:tcPr>
          <w:p w:rsidR="009637D2" w:rsidRPr="009637D2" w:rsidRDefault="009637D2" w:rsidP="009637D2">
            <w:pPr>
              <w:jc w:val="center"/>
              <w:rPr>
                <w:b/>
                <w:bCs/>
                <w:sz w:val="15"/>
                <w:szCs w:val="15"/>
                <w:lang w:val="id-ID"/>
              </w:rPr>
            </w:pPr>
            <w:r w:rsidRPr="009637D2">
              <w:rPr>
                <w:b/>
                <w:bCs/>
                <w:sz w:val="15"/>
                <w:szCs w:val="15"/>
                <w:lang w:val="id-ID"/>
              </w:rPr>
              <w:t>Business field</w:t>
            </w:r>
          </w:p>
        </w:tc>
        <w:tc>
          <w:tcPr>
            <w:tcW w:w="1274" w:type="dxa"/>
            <w:shd w:val="clear" w:color="auto" w:fill="F2F2F2" w:themeFill="background1" w:themeFillShade="F2"/>
            <w:vAlign w:val="center"/>
          </w:tcPr>
          <w:p w:rsidR="009637D2" w:rsidRPr="009637D2" w:rsidRDefault="009637D2" w:rsidP="009637D2">
            <w:pPr>
              <w:jc w:val="center"/>
              <w:rPr>
                <w:b/>
                <w:bCs/>
                <w:sz w:val="15"/>
                <w:szCs w:val="15"/>
                <w:lang w:val="id-ID"/>
              </w:rPr>
            </w:pPr>
            <w:r w:rsidRPr="009637D2">
              <w:rPr>
                <w:b/>
                <w:bCs/>
                <w:sz w:val="15"/>
                <w:szCs w:val="15"/>
                <w:lang w:val="id-ID"/>
              </w:rPr>
              <w:t>LQ</w:t>
            </w:r>
          </w:p>
        </w:tc>
      </w:tr>
      <w:tr w:rsidR="009637D2" w:rsidRPr="009637D2" w:rsidTr="00017ABD">
        <w:trPr>
          <w:trHeight w:val="91"/>
          <w:jc w:val="center"/>
        </w:trPr>
        <w:tc>
          <w:tcPr>
            <w:tcW w:w="3546" w:type="dxa"/>
            <w:shd w:val="clear" w:color="auto" w:fill="auto"/>
          </w:tcPr>
          <w:p w:rsidR="009637D2" w:rsidRPr="009637D2" w:rsidRDefault="00017ABD" w:rsidP="009637D2">
            <w:pPr>
              <w:rPr>
                <w:sz w:val="15"/>
                <w:szCs w:val="15"/>
                <w:lang w:val="id-ID"/>
              </w:rPr>
            </w:pPr>
            <w:r>
              <w:rPr>
                <w:sz w:val="15"/>
                <w:szCs w:val="15"/>
                <w:lang w:val="id-ID"/>
              </w:rPr>
              <w:t>Agriculture</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5.194</w:t>
            </w:r>
          </w:p>
        </w:tc>
      </w:tr>
      <w:tr w:rsidR="009637D2" w:rsidRPr="009637D2" w:rsidTr="00017ABD">
        <w:trPr>
          <w:trHeight w:val="164"/>
          <w:jc w:val="center"/>
        </w:trPr>
        <w:tc>
          <w:tcPr>
            <w:tcW w:w="3546" w:type="dxa"/>
            <w:shd w:val="clear" w:color="auto" w:fill="auto"/>
          </w:tcPr>
          <w:p w:rsidR="009637D2" w:rsidRPr="009637D2" w:rsidRDefault="009637D2" w:rsidP="00792286">
            <w:pPr>
              <w:rPr>
                <w:sz w:val="15"/>
                <w:szCs w:val="15"/>
                <w:lang w:val="id-ID"/>
              </w:rPr>
            </w:pPr>
            <w:r w:rsidRPr="009637D2">
              <w:rPr>
                <w:sz w:val="15"/>
                <w:szCs w:val="15"/>
                <w:lang w:val="id-ID"/>
              </w:rPr>
              <w:t xml:space="preserve">Mining and </w:t>
            </w:r>
            <w:r w:rsidR="00792286">
              <w:rPr>
                <w:sz w:val="15"/>
                <w:szCs w:val="15"/>
                <w:lang w:val="id-ID"/>
              </w:rPr>
              <w:t>Q</w:t>
            </w:r>
            <w:r w:rsidR="00792286" w:rsidRPr="00792286">
              <w:rPr>
                <w:sz w:val="15"/>
                <w:szCs w:val="15"/>
                <w:lang w:val="id-ID"/>
              </w:rPr>
              <w:t>uarrying</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0.425</w:t>
            </w:r>
          </w:p>
        </w:tc>
      </w:tr>
      <w:tr w:rsidR="009637D2" w:rsidRPr="009637D2" w:rsidTr="00017ABD">
        <w:trPr>
          <w:trHeight w:val="149"/>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 xml:space="preserve">Processing </w:t>
            </w:r>
            <w:r w:rsidR="006D1B4B" w:rsidRPr="00017ABD">
              <w:rPr>
                <w:sz w:val="15"/>
                <w:szCs w:val="15"/>
                <w:lang w:val="id-ID"/>
              </w:rPr>
              <w:t>Industry</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0.003</w:t>
            </w:r>
          </w:p>
        </w:tc>
      </w:tr>
      <w:tr w:rsidR="009637D2" w:rsidRPr="009637D2" w:rsidTr="00017ABD">
        <w:trPr>
          <w:trHeight w:val="114"/>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 xml:space="preserve">Electricity, Gas and </w:t>
            </w:r>
            <w:r w:rsidR="001F1B43">
              <w:rPr>
                <w:sz w:val="15"/>
                <w:szCs w:val="15"/>
                <w:lang w:val="id-ID"/>
              </w:rPr>
              <w:t>Clean</w:t>
            </w:r>
            <w:r w:rsidRPr="00017ABD">
              <w:rPr>
                <w:sz w:val="15"/>
                <w:szCs w:val="15"/>
                <w:lang w:val="id-ID"/>
              </w:rPr>
              <w:t xml:space="preserve"> Water</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1.338</w:t>
            </w:r>
          </w:p>
        </w:tc>
      </w:tr>
      <w:tr w:rsidR="009637D2" w:rsidRPr="009637D2" w:rsidTr="00017ABD">
        <w:trPr>
          <w:trHeight w:val="145"/>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 xml:space="preserve">Building and </w:t>
            </w:r>
            <w:r w:rsidR="006D1B4B" w:rsidRPr="00017ABD">
              <w:rPr>
                <w:sz w:val="15"/>
                <w:szCs w:val="15"/>
                <w:lang w:val="id-ID"/>
              </w:rPr>
              <w:t>Construction</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3.419</w:t>
            </w:r>
          </w:p>
        </w:tc>
      </w:tr>
      <w:tr w:rsidR="009637D2" w:rsidRPr="009637D2" w:rsidTr="00017ABD">
        <w:trPr>
          <w:trHeight w:val="119"/>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Trade, Hotels and Restaurants</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1.250</w:t>
            </w:r>
          </w:p>
        </w:tc>
      </w:tr>
      <w:tr w:rsidR="009637D2" w:rsidRPr="009637D2" w:rsidTr="00017ABD">
        <w:trPr>
          <w:trHeight w:val="109"/>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Transportation and Communication</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0.520</w:t>
            </w:r>
          </w:p>
        </w:tc>
      </w:tr>
      <w:tr w:rsidR="009637D2" w:rsidRPr="009637D2" w:rsidTr="00017ABD">
        <w:trPr>
          <w:trHeight w:val="50"/>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Finance, Leasing and Corporate Services</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0.162</w:t>
            </w:r>
          </w:p>
        </w:tc>
      </w:tr>
      <w:tr w:rsidR="009637D2" w:rsidRPr="009637D2" w:rsidTr="00017ABD">
        <w:trPr>
          <w:trHeight w:val="52"/>
          <w:jc w:val="center"/>
        </w:trPr>
        <w:tc>
          <w:tcPr>
            <w:tcW w:w="3546" w:type="dxa"/>
            <w:shd w:val="clear" w:color="auto" w:fill="auto"/>
          </w:tcPr>
          <w:p w:rsidR="009637D2" w:rsidRPr="009637D2" w:rsidRDefault="00017ABD" w:rsidP="009637D2">
            <w:pPr>
              <w:rPr>
                <w:sz w:val="15"/>
                <w:szCs w:val="15"/>
                <w:lang w:val="id-ID"/>
              </w:rPr>
            </w:pPr>
            <w:r w:rsidRPr="00017ABD">
              <w:rPr>
                <w:sz w:val="15"/>
                <w:szCs w:val="15"/>
                <w:lang w:val="id-ID"/>
              </w:rPr>
              <w:t>Services</w:t>
            </w:r>
          </w:p>
        </w:tc>
        <w:tc>
          <w:tcPr>
            <w:tcW w:w="1274" w:type="dxa"/>
            <w:shd w:val="clear" w:color="auto" w:fill="auto"/>
          </w:tcPr>
          <w:p w:rsidR="009637D2" w:rsidRPr="009637D2" w:rsidRDefault="009637D2" w:rsidP="009637D2">
            <w:pPr>
              <w:jc w:val="center"/>
              <w:rPr>
                <w:sz w:val="15"/>
                <w:szCs w:val="15"/>
                <w:lang w:val="id-ID"/>
              </w:rPr>
            </w:pPr>
            <w:r w:rsidRPr="009637D2">
              <w:rPr>
                <w:sz w:val="15"/>
                <w:szCs w:val="15"/>
                <w:lang w:val="id-ID"/>
              </w:rPr>
              <w:t>2.239</w:t>
            </w:r>
          </w:p>
        </w:tc>
      </w:tr>
    </w:tbl>
    <w:p w:rsidR="009637D2" w:rsidRDefault="009637D2" w:rsidP="009637D2">
      <w:pPr>
        <w:pStyle w:val="BodyText"/>
        <w:spacing w:before="1" w:line="283" w:lineRule="auto"/>
        <w:ind w:left="130" w:right="87"/>
        <w:rPr>
          <w:color w:val="231F20"/>
          <w:w w:val="105"/>
          <w:sz w:val="15"/>
          <w:szCs w:val="15"/>
          <w:lang w:val="id-ID"/>
        </w:rPr>
      </w:pPr>
      <w:r>
        <w:rPr>
          <w:color w:val="231F20"/>
          <w:w w:val="105"/>
          <w:lang w:val="id-ID"/>
        </w:rPr>
        <w:t xml:space="preserve"> </w:t>
      </w:r>
      <w:r w:rsidR="00017ABD">
        <w:rPr>
          <w:color w:val="231F20"/>
          <w:w w:val="105"/>
          <w:lang w:val="id-ID"/>
        </w:rPr>
        <w:t>*</w:t>
      </w:r>
      <w:r w:rsidRPr="00017ABD">
        <w:rPr>
          <w:color w:val="231F20"/>
          <w:w w:val="105"/>
          <w:sz w:val="15"/>
          <w:szCs w:val="15"/>
          <w:lang w:val="id-ID"/>
        </w:rPr>
        <w:t xml:space="preserve">Note: </w:t>
      </w:r>
      <w:r w:rsidR="00017ABD" w:rsidRPr="00017ABD">
        <w:rPr>
          <w:color w:val="231F20"/>
          <w:w w:val="105"/>
          <w:sz w:val="15"/>
          <w:szCs w:val="15"/>
          <w:lang w:val="id-ID"/>
        </w:rPr>
        <w:t>research calculation</w:t>
      </w:r>
      <w:r w:rsidRPr="00017ABD">
        <w:rPr>
          <w:color w:val="231F20"/>
          <w:w w:val="105"/>
          <w:sz w:val="15"/>
          <w:szCs w:val="15"/>
          <w:lang w:val="id-ID"/>
        </w:rPr>
        <w:t>, 2019</w:t>
      </w:r>
    </w:p>
    <w:p w:rsidR="00C70335" w:rsidRDefault="00C70335" w:rsidP="00C70335">
      <w:pPr>
        <w:pStyle w:val="BodyText"/>
        <w:spacing w:before="1" w:line="283" w:lineRule="auto"/>
        <w:ind w:right="87"/>
        <w:rPr>
          <w:color w:val="231F20"/>
          <w:w w:val="105"/>
          <w:sz w:val="15"/>
          <w:szCs w:val="15"/>
          <w:lang w:val="id-ID"/>
        </w:rPr>
      </w:pPr>
    </w:p>
    <w:p w:rsidR="006D1B4B" w:rsidRPr="00C70335" w:rsidRDefault="00C70335" w:rsidP="00177E2E">
      <w:pPr>
        <w:pStyle w:val="BodyText"/>
        <w:spacing w:before="1" w:line="283" w:lineRule="auto"/>
        <w:ind w:left="130" w:right="87" w:firstLine="170"/>
        <w:jc w:val="both"/>
        <w:rPr>
          <w:lang w:val="id-ID"/>
        </w:rPr>
      </w:pPr>
      <w:r w:rsidRPr="00D30C5C">
        <w:rPr>
          <w:highlight w:val="yellow"/>
          <w:lang w:val="id-ID"/>
        </w:rPr>
        <w:t>The results of data processing show that of the 9 sectors in Malinau Regency, sectors that on average consistently had a LQ coefficient&gt; 1 during the period 2009-2018, namely:</w:t>
      </w:r>
      <w:r w:rsidR="00D30C5C">
        <w:rPr>
          <w:color w:val="FF0000"/>
        </w:rPr>
        <w:t>--rephrase</w:t>
      </w:r>
      <w:r w:rsidRPr="00C70335">
        <w:rPr>
          <w:lang w:val="id-ID"/>
        </w:rPr>
        <w:t xml:space="preserve"> agriculture, electricity, gas and </w:t>
      </w:r>
      <w:r w:rsidR="001F1B43">
        <w:rPr>
          <w:lang w:val="id-ID"/>
        </w:rPr>
        <w:t>clean</w:t>
      </w:r>
      <w:r w:rsidRPr="00C70335">
        <w:rPr>
          <w:lang w:val="id-ID"/>
        </w:rPr>
        <w:t xml:space="preserve"> water, building and construction, trade, hotels and restaurants, and services. The agricultural sector is a business field that has the highest average LQ coefficient</w:t>
      </w:r>
      <w:r w:rsidR="00D30C5C">
        <w:rPr>
          <w:color w:val="FF0000"/>
        </w:rPr>
        <w:t xml:space="preserve"> of 5.194</w:t>
      </w:r>
      <w:r w:rsidRPr="00C70335">
        <w:rPr>
          <w:lang w:val="id-ID"/>
        </w:rPr>
        <w:t xml:space="preserve"> in Malinau Regency </w:t>
      </w:r>
      <w:r w:rsidRPr="00D30C5C">
        <w:rPr>
          <w:strike/>
          <w:color w:val="FF0000"/>
          <w:lang w:val="id-ID"/>
        </w:rPr>
        <w:t>which is 5.194</w:t>
      </w:r>
      <w:r w:rsidRPr="00C70335">
        <w:rPr>
          <w:lang w:val="id-ID"/>
        </w:rPr>
        <w:t>.</w:t>
      </w:r>
    </w:p>
    <w:p w:rsidR="00C70335" w:rsidRDefault="00C70335" w:rsidP="00C70335">
      <w:pPr>
        <w:pStyle w:val="BodyText"/>
        <w:spacing w:before="1" w:line="283" w:lineRule="auto"/>
        <w:ind w:left="130" w:right="87" w:firstLine="170"/>
        <w:jc w:val="both"/>
        <w:rPr>
          <w:lang w:val="id-ID"/>
        </w:rPr>
      </w:pPr>
      <w:r w:rsidRPr="00C70335">
        <w:rPr>
          <w:lang w:val="id-ID"/>
        </w:rPr>
        <w:t>Meanwhile, the other 4 sectors that consistently had an average LQ coefficient &lt;1 consisted of</w:t>
      </w:r>
      <w:r w:rsidRPr="00D30C5C">
        <w:rPr>
          <w:strike/>
          <w:color w:val="FF0000"/>
          <w:lang w:val="id-ID"/>
        </w:rPr>
        <w:t xml:space="preserve">: </w:t>
      </w:r>
      <w:r w:rsidRPr="00C70335">
        <w:rPr>
          <w:lang w:val="id-ID"/>
        </w:rPr>
        <w:t xml:space="preserve">mining and </w:t>
      </w:r>
      <w:r w:rsidR="00792286" w:rsidRPr="00792286">
        <w:rPr>
          <w:lang w:val="id-ID"/>
        </w:rPr>
        <w:t>quarrying</w:t>
      </w:r>
      <w:r w:rsidRPr="00C70335">
        <w:rPr>
          <w:lang w:val="id-ID"/>
        </w:rPr>
        <w:t>, manufacturing industry, transportation and communication, finance, leasing and corporate services.</w:t>
      </w:r>
    </w:p>
    <w:p w:rsidR="00177E2E" w:rsidRPr="00D30C5C" w:rsidRDefault="00177E2E" w:rsidP="00177E2E">
      <w:pPr>
        <w:pStyle w:val="BodyText"/>
        <w:spacing w:before="1" w:line="283" w:lineRule="auto"/>
        <w:ind w:left="130" w:right="87" w:firstLine="170"/>
        <w:jc w:val="both"/>
        <w:rPr>
          <w:color w:val="FF0000"/>
        </w:rPr>
      </w:pPr>
      <w:r w:rsidRPr="00D30C5C">
        <w:rPr>
          <w:highlight w:val="yellow"/>
          <w:lang w:val="id-ID"/>
        </w:rPr>
        <w:t xml:space="preserve">Gross Regional Domestic Product (GRDP) in this study is the output or value added of the entire production of goods and services produced from several economic sectors (including its sub-sectors) are based on constant price prices in Malinau Regency in 2009-2018 in the unit of </w:t>
      </w:r>
      <w:r w:rsidR="006B0314" w:rsidRPr="00D30C5C">
        <w:rPr>
          <w:highlight w:val="yellow"/>
          <w:lang w:val="id-ID"/>
        </w:rPr>
        <w:t>Million</w:t>
      </w:r>
      <w:r w:rsidRPr="00D30C5C">
        <w:rPr>
          <w:highlight w:val="yellow"/>
          <w:lang w:val="id-ID"/>
        </w:rPr>
        <w:t xml:space="preserve"> Rupiah (IDR).</w:t>
      </w:r>
      <w:r w:rsidR="00D30C5C">
        <w:rPr>
          <w:color w:val="FF0000"/>
        </w:rPr>
        <w:t>-- rephrase</w:t>
      </w:r>
    </w:p>
    <w:p w:rsidR="00C70335" w:rsidRDefault="00C70335" w:rsidP="00C70335">
      <w:pPr>
        <w:pStyle w:val="BodyText"/>
        <w:spacing w:before="1" w:line="283" w:lineRule="auto"/>
        <w:ind w:left="130" w:right="87" w:firstLine="170"/>
        <w:jc w:val="both"/>
        <w:rPr>
          <w:lang w:val="id-ID"/>
        </w:rPr>
      </w:pPr>
    </w:p>
    <w:p w:rsidR="007B0BF0" w:rsidRPr="00AB07C5" w:rsidRDefault="007B0BF0" w:rsidP="00AB07C5">
      <w:pPr>
        <w:pStyle w:val="BodyText"/>
        <w:spacing w:before="1" w:line="283" w:lineRule="auto"/>
        <w:ind w:left="130" w:right="87" w:firstLine="12"/>
        <w:jc w:val="both"/>
        <w:rPr>
          <w:lang w:val="id-ID"/>
        </w:rPr>
      </w:pPr>
      <w:r>
        <w:rPr>
          <w:noProof/>
          <w:lang w:eastAsia="ko-KR"/>
        </w:rPr>
        <w:lastRenderedPageBreak/>
        <w:drawing>
          <wp:inline distT="0" distB="0" distL="0" distR="0" wp14:anchorId="2C0078C6" wp14:editId="29261827">
            <wp:extent cx="2933700" cy="1676400"/>
            <wp:effectExtent l="0" t="0" r="19050" b="19050"/>
            <wp:docPr id="186" name="Chart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6274" w:rsidRDefault="007B0BF0" w:rsidP="00E06274">
      <w:pPr>
        <w:pStyle w:val="BodyText"/>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Pr>
          <w:b/>
          <w:color w:val="231F20"/>
          <w:w w:val="105"/>
          <w:sz w:val="15"/>
          <w:szCs w:val="15"/>
          <w:lang w:val="id-ID"/>
        </w:rPr>
        <w:t>2</w:t>
      </w:r>
      <w:r w:rsidRPr="00A53CCD">
        <w:rPr>
          <w:color w:val="231F20"/>
          <w:w w:val="105"/>
          <w:sz w:val="15"/>
          <w:szCs w:val="15"/>
          <w:lang w:val="id-ID"/>
        </w:rPr>
        <w:t xml:space="preserve">: </w:t>
      </w:r>
      <w:r>
        <w:rPr>
          <w:color w:val="231F20"/>
          <w:w w:val="105"/>
          <w:sz w:val="15"/>
          <w:szCs w:val="15"/>
          <w:lang w:val="id-ID"/>
        </w:rPr>
        <w:t>GRDP a</w:t>
      </w:r>
      <w:r w:rsidRPr="007B0BF0">
        <w:rPr>
          <w:color w:val="231F20"/>
          <w:w w:val="105"/>
          <w:sz w:val="15"/>
          <w:szCs w:val="15"/>
          <w:lang w:val="id-ID"/>
        </w:rPr>
        <w:t xml:space="preserve">t Constant Prices in Malinau </w:t>
      </w:r>
      <w:r w:rsidR="00E06274">
        <w:rPr>
          <w:color w:val="231F20"/>
          <w:w w:val="105"/>
          <w:sz w:val="15"/>
          <w:szCs w:val="15"/>
          <w:lang w:val="id-ID"/>
        </w:rPr>
        <w:t>Regency,</w:t>
      </w:r>
    </w:p>
    <w:p w:rsidR="007B0BF0" w:rsidRPr="00A53CCD" w:rsidRDefault="007B0BF0" w:rsidP="00E06274">
      <w:pPr>
        <w:pStyle w:val="BodyText"/>
        <w:spacing w:before="6" w:line="283" w:lineRule="auto"/>
        <w:ind w:right="39"/>
        <w:jc w:val="center"/>
        <w:rPr>
          <w:color w:val="231F20"/>
          <w:w w:val="105"/>
          <w:sz w:val="15"/>
          <w:szCs w:val="15"/>
          <w:lang w:val="id-ID"/>
        </w:rPr>
      </w:pPr>
      <w:r>
        <w:rPr>
          <w:color w:val="231F20"/>
          <w:w w:val="105"/>
          <w:sz w:val="15"/>
          <w:szCs w:val="15"/>
          <w:lang w:val="id-ID"/>
        </w:rPr>
        <w:t>2009-2018 (</w:t>
      </w:r>
      <w:r w:rsidR="006B0314">
        <w:rPr>
          <w:color w:val="231F20"/>
          <w:w w:val="105"/>
          <w:sz w:val="15"/>
          <w:szCs w:val="15"/>
          <w:lang w:val="id-ID"/>
        </w:rPr>
        <w:t>Million</w:t>
      </w:r>
      <w:r>
        <w:rPr>
          <w:color w:val="231F20"/>
          <w:w w:val="105"/>
          <w:sz w:val="15"/>
          <w:szCs w:val="15"/>
          <w:lang w:val="id-ID"/>
        </w:rPr>
        <w:t xml:space="preserve"> IDR</w:t>
      </w:r>
      <w:r w:rsidRPr="007B0BF0">
        <w:rPr>
          <w:color w:val="231F20"/>
          <w:w w:val="105"/>
          <w:sz w:val="15"/>
          <w:szCs w:val="15"/>
          <w:lang w:val="id-ID"/>
        </w:rPr>
        <w:t>)</w:t>
      </w:r>
    </w:p>
    <w:p w:rsidR="00C70335" w:rsidRDefault="00C70335" w:rsidP="007B0BF0">
      <w:pPr>
        <w:pStyle w:val="BodyText"/>
        <w:spacing w:before="1" w:line="283" w:lineRule="auto"/>
        <w:ind w:right="87"/>
        <w:jc w:val="both"/>
        <w:rPr>
          <w:lang w:val="id-ID"/>
        </w:rPr>
      </w:pPr>
    </w:p>
    <w:p w:rsidR="00C70335" w:rsidRDefault="007B0BF0" w:rsidP="007B0BF0">
      <w:pPr>
        <w:pStyle w:val="BodyText"/>
        <w:spacing w:before="1" w:line="283" w:lineRule="auto"/>
        <w:ind w:left="130" w:right="87" w:firstLine="170"/>
        <w:jc w:val="both"/>
        <w:rPr>
          <w:lang w:val="id-ID"/>
        </w:rPr>
      </w:pPr>
      <w:r w:rsidRPr="007B0BF0">
        <w:rPr>
          <w:i/>
          <w:lang w:val="id-ID"/>
        </w:rPr>
        <w:t>Figure 2</w:t>
      </w:r>
      <w:r w:rsidRPr="007B0BF0">
        <w:rPr>
          <w:lang w:val="id-ID"/>
        </w:rPr>
        <w:t xml:space="preserve"> shows </w:t>
      </w:r>
      <w:r w:rsidR="00DF3D32">
        <w:rPr>
          <w:color w:val="FF0000"/>
        </w:rPr>
        <w:t xml:space="preserve">significant increase in </w:t>
      </w:r>
      <w:r w:rsidRPr="007B0BF0">
        <w:rPr>
          <w:lang w:val="id-ID"/>
        </w:rPr>
        <w:t xml:space="preserve">the development of GRDP in Malinau </w:t>
      </w:r>
      <w:r w:rsidR="00177E2E">
        <w:rPr>
          <w:lang w:val="id-ID"/>
        </w:rPr>
        <w:t>Regency</w:t>
      </w:r>
      <w:r w:rsidRPr="007B0BF0">
        <w:rPr>
          <w:lang w:val="id-ID"/>
        </w:rPr>
        <w:t xml:space="preserve"> during the observation period </w:t>
      </w:r>
      <w:r w:rsidRPr="00130CC3">
        <w:rPr>
          <w:strike/>
          <w:color w:val="FF0000"/>
          <w:lang w:val="id-ID"/>
        </w:rPr>
        <w:t>has increased significantly</w:t>
      </w:r>
      <w:r w:rsidRPr="007B0BF0">
        <w:rPr>
          <w:lang w:val="id-ID"/>
        </w:rPr>
        <w:t>. The data shows that the highest PDRB value occurred in 2018</w:t>
      </w:r>
      <w:r w:rsidR="006F51C9">
        <w:rPr>
          <w:color w:val="FF0000"/>
        </w:rPr>
        <w:t>,</w:t>
      </w:r>
      <w:r w:rsidRPr="007B0BF0">
        <w:rPr>
          <w:lang w:val="id-ID"/>
        </w:rPr>
        <w:t xml:space="preserve"> reaching 936,311 </w:t>
      </w:r>
      <w:r w:rsidR="006B0314">
        <w:rPr>
          <w:lang w:val="id-ID"/>
        </w:rPr>
        <w:t>Million IDR</w:t>
      </w:r>
      <w:r w:rsidRPr="006F51C9">
        <w:rPr>
          <w:strike/>
          <w:color w:val="FF0000"/>
          <w:lang w:val="id-ID"/>
        </w:rPr>
        <w:t xml:space="preserve">, </w:t>
      </w:r>
      <w:r w:rsidR="006F51C9">
        <w:rPr>
          <w:color w:val="FF0000"/>
        </w:rPr>
        <w:t xml:space="preserve">; </w:t>
      </w:r>
      <w:r w:rsidRPr="007B0BF0">
        <w:rPr>
          <w:lang w:val="id-ID"/>
        </w:rPr>
        <w:t>while in 200</w:t>
      </w:r>
      <w:r>
        <w:rPr>
          <w:lang w:val="id-ID"/>
        </w:rPr>
        <w:t>9</w:t>
      </w:r>
      <w:r w:rsidR="006F51C9">
        <w:rPr>
          <w:color w:val="FF0000"/>
        </w:rPr>
        <w:t>,</w:t>
      </w:r>
      <w:r>
        <w:rPr>
          <w:lang w:val="id-ID"/>
        </w:rPr>
        <w:t xml:space="preserve"> it was 454,183 </w:t>
      </w:r>
      <w:r w:rsidR="006B0314">
        <w:rPr>
          <w:lang w:val="id-ID"/>
        </w:rPr>
        <w:t>Million IDR</w:t>
      </w:r>
      <w:r w:rsidRPr="007B0BF0">
        <w:rPr>
          <w:lang w:val="id-ID"/>
        </w:rPr>
        <w:t>.</w:t>
      </w:r>
    </w:p>
    <w:p w:rsidR="007B0BF0" w:rsidRDefault="007B0BF0" w:rsidP="007B0BF0">
      <w:pPr>
        <w:pStyle w:val="Heading2"/>
        <w:numPr>
          <w:ilvl w:val="1"/>
          <w:numId w:val="5"/>
        </w:numPr>
        <w:tabs>
          <w:tab w:val="left" w:pos="647"/>
        </w:tabs>
        <w:spacing w:before="212"/>
      </w:pPr>
      <w:r w:rsidRPr="007B0BF0">
        <w:rPr>
          <w:color w:val="231F20"/>
          <w:w w:val="105"/>
          <w:lang w:val="id-ID"/>
        </w:rPr>
        <w:t>Cal</w:t>
      </w:r>
      <w:r>
        <w:rPr>
          <w:color w:val="231F20"/>
          <w:w w:val="105"/>
          <w:lang w:val="id-ID"/>
        </w:rPr>
        <w:t xml:space="preserve">culation of Shif Share Analysis </w:t>
      </w:r>
      <w:r w:rsidRPr="007B0BF0">
        <w:rPr>
          <w:color w:val="231F20"/>
          <w:w w:val="105"/>
          <w:lang w:val="id-ID"/>
        </w:rPr>
        <w:t>(SSA)</w:t>
      </w:r>
    </w:p>
    <w:p w:rsidR="007B0BF0" w:rsidRDefault="007B0BF0" w:rsidP="007B0BF0">
      <w:pPr>
        <w:pStyle w:val="BodyText"/>
        <w:spacing w:before="10"/>
        <w:rPr>
          <w:b/>
          <w:sz w:val="18"/>
        </w:rPr>
      </w:pPr>
    </w:p>
    <w:p w:rsidR="007B0BF0" w:rsidRPr="007B0BF0" w:rsidRDefault="007B0BF0" w:rsidP="007B0BF0">
      <w:pPr>
        <w:pStyle w:val="BodyText"/>
        <w:spacing w:before="1" w:line="283" w:lineRule="auto"/>
        <w:ind w:left="130" w:right="87" w:firstLine="170"/>
        <w:jc w:val="both"/>
        <w:rPr>
          <w:lang w:val="id-ID"/>
        </w:rPr>
      </w:pPr>
      <w:r>
        <w:rPr>
          <w:lang w:val="id-ID"/>
        </w:rPr>
        <w:t>SSA</w:t>
      </w:r>
      <w:r w:rsidRPr="007B0BF0">
        <w:rPr>
          <w:lang w:val="id-ID"/>
        </w:rPr>
        <w:t xml:space="preserve"> assumes that changes in the structure or economic performance of a region are influenced by the </w:t>
      </w:r>
      <w:r w:rsidR="003A7E5E">
        <w:rPr>
          <w:lang w:val="id-ID"/>
        </w:rPr>
        <w:t>economic structure of a higher or</w:t>
      </w:r>
      <w:r w:rsidRPr="007B0BF0">
        <w:rPr>
          <w:lang w:val="id-ID"/>
        </w:rPr>
        <w:t xml:space="preserve"> wider regional unit (Arsyad, 2010).</w:t>
      </w:r>
    </w:p>
    <w:p w:rsidR="007B0BF0" w:rsidRPr="00A57990" w:rsidRDefault="007B0BF0" w:rsidP="007B0BF0">
      <w:pPr>
        <w:pStyle w:val="BodyText"/>
        <w:spacing w:before="1" w:line="283" w:lineRule="auto"/>
        <w:ind w:left="130" w:right="87" w:firstLine="170"/>
        <w:jc w:val="both"/>
        <w:rPr>
          <w:color w:val="FF0000"/>
        </w:rPr>
      </w:pPr>
      <w:r w:rsidRPr="00A57990">
        <w:rPr>
          <w:highlight w:val="yellow"/>
          <w:lang w:val="id-ID"/>
        </w:rPr>
        <w:t>Changes in the relative structure or performance of the economy of the Malinau Regency to a wider region (North Kalimantan Province is influenced by several components, namely regional economic growth (N</w:t>
      </w:r>
      <w:r w:rsidRPr="00A57990">
        <w:rPr>
          <w:highlight w:val="yellow"/>
          <w:vertAlign w:val="subscript"/>
          <w:lang w:val="id-ID"/>
        </w:rPr>
        <w:t>ij</w:t>
      </w:r>
      <w:r w:rsidRPr="00A57990">
        <w:rPr>
          <w:highlight w:val="yellow"/>
          <w:lang w:val="id-ID"/>
        </w:rPr>
        <w:t>), industrial mix (M</w:t>
      </w:r>
      <w:r w:rsidRPr="00A57990">
        <w:rPr>
          <w:highlight w:val="yellow"/>
          <w:vertAlign w:val="subscript"/>
          <w:lang w:val="id-ID"/>
        </w:rPr>
        <w:t>ij</w:t>
      </w:r>
      <w:r w:rsidRPr="00A57990">
        <w:rPr>
          <w:highlight w:val="yellow"/>
          <w:lang w:val="id-ID"/>
        </w:rPr>
        <w:t>) and Competitive Advantage (C</w:t>
      </w:r>
      <w:r w:rsidRPr="00A57990">
        <w:rPr>
          <w:highlight w:val="yellow"/>
          <w:vertAlign w:val="subscript"/>
          <w:lang w:val="id-ID"/>
        </w:rPr>
        <w:t>ij</w:t>
      </w:r>
      <w:r w:rsidRPr="00A57990">
        <w:rPr>
          <w:highlight w:val="yellow"/>
          <w:lang w:val="id-ID"/>
        </w:rPr>
        <w:t>).</w:t>
      </w:r>
      <w:r w:rsidR="00A57990">
        <w:rPr>
          <w:color w:val="FF0000"/>
        </w:rPr>
        <w:t>--rephrase</w:t>
      </w:r>
    </w:p>
    <w:p w:rsidR="00C70335" w:rsidRDefault="007B0BF0" w:rsidP="007B0BF0">
      <w:pPr>
        <w:pStyle w:val="BodyText"/>
        <w:spacing w:before="1" w:line="283" w:lineRule="auto"/>
        <w:ind w:left="130" w:right="87" w:firstLine="170"/>
        <w:jc w:val="both"/>
        <w:rPr>
          <w:lang w:val="id-ID"/>
        </w:rPr>
      </w:pPr>
      <w:r w:rsidRPr="007B0BF0">
        <w:rPr>
          <w:lang w:val="id-ID"/>
        </w:rPr>
        <w:t xml:space="preserve">Malinau Regency's GRDP can be compared annually to the North Kalimantan Province's GRDP to see the performance of various sectors of the economy by referring to the base year of analysis and the final year of analysis. The decomposition of the business sector (shifting economic structure) of Malinau Regency is set out in </w:t>
      </w:r>
      <w:r w:rsidRPr="007B0BF0">
        <w:rPr>
          <w:i/>
          <w:lang w:val="id-ID"/>
        </w:rPr>
        <w:t>Table 2</w:t>
      </w:r>
      <w:r w:rsidRPr="007B0BF0">
        <w:rPr>
          <w:lang w:val="id-ID"/>
        </w:rPr>
        <w:t>.</w:t>
      </w:r>
    </w:p>
    <w:p w:rsidR="00C70335" w:rsidRDefault="00C70335" w:rsidP="00C70335">
      <w:pPr>
        <w:pStyle w:val="BodyText"/>
        <w:spacing w:before="1" w:line="283" w:lineRule="auto"/>
        <w:ind w:right="87"/>
        <w:rPr>
          <w:color w:val="231F20"/>
          <w:w w:val="105"/>
          <w:sz w:val="15"/>
          <w:szCs w:val="15"/>
          <w:lang w:val="id-ID"/>
        </w:rPr>
      </w:pPr>
    </w:p>
    <w:p w:rsidR="007B0BF0" w:rsidRPr="009637D2" w:rsidRDefault="007B0BF0" w:rsidP="00A97D4C">
      <w:pPr>
        <w:pStyle w:val="BodyText"/>
        <w:spacing w:before="1" w:line="283" w:lineRule="auto"/>
        <w:ind w:left="130" w:right="87"/>
        <w:jc w:val="center"/>
        <w:rPr>
          <w:color w:val="231F20"/>
          <w:w w:val="105"/>
          <w:sz w:val="15"/>
          <w:szCs w:val="15"/>
          <w:lang w:val="id-ID"/>
        </w:rPr>
      </w:pPr>
      <w:r>
        <w:rPr>
          <w:b/>
          <w:color w:val="231F20"/>
          <w:w w:val="105"/>
          <w:sz w:val="15"/>
          <w:szCs w:val="15"/>
          <w:lang w:val="id-ID"/>
        </w:rPr>
        <w:t>Table 2</w:t>
      </w:r>
      <w:r w:rsidRPr="009637D2">
        <w:rPr>
          <w:color w:val="231F20"/>
          <w:w w:val="105"/>
          <w:sz w:val="15"/>
          <w:szCs w:val="15"/>
          <w:lang w:val="id-ID"/>
        </w:rPr>
        <w:t xml:space="preserve">: </w:t>
      </w:r>
      <w:r w:rsidR="00A97D4C" w:rsidRPr="00A97D4C">
        <w:rPr>
          <w:color w:val="231F20"/>
          <w:w w:val="105"/>
          <w:sz w:val="15"/>
          <w:szCs w:val="15"/>
          <w:lang w:val="id-ID"/>
        </w:rPr>
        <w:t>Average Shift Share Results Based on the National Growth Component (N</w:t>
      </w:r>
      <w:r w:rsidR="00A97D4C" w:rsidRPr="00A97D4C">
        <w:rPr>
          <w:color w:val="231F20"/>
          <w:w w:val="105"/>
          <w:sz w:val="15"/>
          <w:szCs w:val="15"/>
          <w:vertAlign w:val="subscript"/>
          <w:lang w:val="id-ID"/>
        </w:rPr>
        <w:t>ij</w:t>
      </w:r>
      <w:r w:rsidR="00E06274">
        <w:rPr>
          <w:color w:val="231F20"/>
          <w:w w:val="105"/>
          <w:sz w:val="15"/>
          <w:szCs w:val="15"/>
          <w:lang w:val="id-ID"/>
        </w:rPr>
        <w:t>) in Malinau Regency,</w:t>
      </w:r>
      <w:r w:rsidR="00A97D4C" w:rsidRPr="00A97D4C">
        <w:rPr>
          <w:color w:val="231F20"/>
          <w:w w:val="105"/>
          <w:sz w:val="15"/>
          <w:szCs w:val="15"/>
          <w:lang w:val="id-ID"/>
        </w:rPr>
        <w:t xml:space="preserve"> 2009-2018</w:t>
      </w:r>
    </w:p>
    <w:tbl>
      <w:tblPr>
        <w:tblW w:w="46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82"/>
        <w:gridCol w:w="1516"/>
      </w:tblGrid>
      <w:tr w:rsidR="007B0BF0" w:rsidRPr="009637D2" w:rsidTr="007B0BF0">
        <w:trPr>
          <w:trHeight w:val="145"/>
          <w:jc w:val="center"/>
        </w:trPr>
        <w:tc>
          <w:tcPr>
            <w:tcW w:w="3182" w:type="dxa"/>
            <w:shd w:val="clear" w:color="auto" w:fill="F2F2F2" w:themeFill="background1" w:themeFillShade="F2"/>
            <w:vAlign w:val="center"/>
          </w:tcPr>
          <w:p w:rsidR="007B0BF0" w:rsidRPr="009637D2" w:rsidRDefault="007B0BF0" w:rsidP="007B0BF0">
            <w:pPr>
              <w:jc w:val="center"/>
              <w:rPr>
                <w:b/>
                <w:bCs/>
                <w:sz w:val="15"/>
                <w:szCs w:val="15"/>
                <w:lang w:val="id-ID"/>
              </w:rPr>
            </w:pPr>
            <w:r w:rsidRPr="009637D2">
              <w:rPr>
                <w:b/>
                <w:bCs/>
                <w:sz w:val="15"/>
                <w:szCs w:val="15"/>
                <w:lang w:val="id-ID"/>
              </w:rPr>
              <w:t>Business field</w:t>
            </w:r>
          </w:p>
        </w:tc>
        <w:tc>
          <w:tcPr>
            <w:tcW w:w="1516" w:type="dxa"/>
            <w:shd w:val="clear" w:color="auto" w:fill="F2F2F2" w:themeFill="background1" w:themeFillShade="F2"/>
            <w:vAlign w:val="center"/>
          </w:tcPr>
          <w:p w:rsidR="007B0BF0" w:rsidRPr="009637D2" w:rsidRDefault="007B0BF0" w:rsidP="007B0BF0">
            <w:pPr>
              <w:jc w:val="center"/>
              <w:rPr>
                <w:b/>
                <w:bCs/>
                <w:sz w:val="15"/>
                <w:szCs w:val="15"/>
                <w:lang w:val="id-ID"/>
              </w:rPr>
            </w:pPr>
            <w:r w:rsidRPr="007B0BF0">
              <w:rPr>
                <w:b/>
                <w:bCs/>
                <w:sz w:val="15"/>
                <w:szCs w:val="15"/>
                <w:lang w:val="id-ID"/>
              </w:rPr>
              <w:t>N</w:t>
            </w:r>
            <w:r w:rsidRPr="007B0BF0">
              <w:rPr>
                <w:b/>
                <w:bCs/>
                <w:sz w:val="15"/>
                <w:szCs w:val="15"/>
                <w:vertAlign w:val="subscript"/>
                <w:lang w:val="id-ID"/>
              </w:rPr>
              <w:t>ij</w:t>
            </w:r>
            <w:r>
              <w:rPr>
                <w:b/>
                <w:bCs/>
                <w:sz w:val="15"/>
                <w:szCs w:val="15"/>
                <w:lang w:val="id-ID"/>
              </w:rPr>
              <w:t xml:space="preserve"> (</w:t>
            </w:r>
            <w:r w:rsidR="006B0314">
              <w:rPr>
                <w:b/>
                <w:bCs/>
                <w:sz w:val="15"/>
                <w:szCs w:val="15"/>
                <w:lang w:val="id-ID"/>
              </w:rPr>
              <w:t>Million</w:t>
            </w:r>
            <w:r>
              <w:rPr>
                <w:b/>
                <w:bCs/>
                <w:sz w:val="15"/>
                <w:szCs w:val="15"/>
                <w:lang w:val="id-ID"/>
              </w:rPr>
              <w:t xml:space="preserve"> IDR)</w:t>
            </w:r>
          </w:p>
        </w:tc>
      </w:tr>
      <w:tr w:rsidR="007B0BF0" w:rsidRPr="009637D2" w:rsidTr="007B0BF0">
        <w:trPr>
          <w:trHeight w:val="91"/>
          <w:jc w:val="center"/>
        </w:trPr>
        <w:tc>
          <w:tcPr>
            <w:tcW w:w="3182" w:type="dxa"/>
            <w:shd w:val="clear" w:color="auto" w:fill="auto"/>
          </w:tcPr>
          <w:p w:rsidR="007B0BF0" w:rsidRPr="009637D2" w:rsidRDefault="007B0BF0" w:rsidP="007B0BF0">
            <w:pPr>
              <w:rPr>
                <w:sz w:val="15"/>
                <w:szCs w:val="15"/>
                <w:lang w:val="id-ID"/>
              </w:rPr>
            </w:pPr>
            <w:r>
              <w:rPr>
                <w:sz w:val="15"/>
                <w:szCs w:val="15"/>
                <w:lang w:val="id-ID"/>
              </w:rPr>
              <w:t>Agriculture</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1</w:t>
            </w:r>
            <w:r w:rsidRPr="007B0BF0">
              <w:rPr>
                <w:bCs/>
                <w:sz w:val="15"/>
                <w:szCs w:val="15"/>
                <w:lang w:val="id-ID"/>
              </w:rPr>
              <w:t>,</w:t>
            </w:r>
            <w:r w:rsidRPr="007B0BF0">
              <w:rPr>
                <w:bCs/>
                <w:sz w:val="15"/>
                <w:szCs w:val="15"/>
              </w:rPr>
              <w:t>119</w:t>
            </w:r>
            <w:r w:rsidRPr="007B0BF0">
              <w:rPr>
                <w:bCs/>
                <w:sz w:val="15"/>
                <w:szCs w:val="15"/>
                <w:lang w:val="id-ID"/>
              </w:rPr>
              <w:t>,</w:t>
            </w:r>
            <w:r w:rsidRPr="007B0BF0">
              <w:rPr>
                <w:bCs/>
                <w:sz w:val="15"/>
                <w:szCs w:val="15"/>
              </w:rPr>
              <w:t>675</w:t>
            </w:r>
          </w:p>
        </w:tc>
      </w:tr>
      <w:tr w:rsidR="007B0BF0" w:rsidRPr="009637D2" w:rsidTr="007B0BF0">
        <w:trPr>
          <w:trHeight w:val="164"/>
          <w:jc w:val="center"/>
        </w:trPr>
        <w:tc>
          <w:tcPr>
            <w:tcW w:w="3182" w:type="dxa"/>
            <w:shd w:val="clear" w:color="auto" w:fill="auto"/>
          </w:tcPr>
          <w:p w:rsidR="007B0BF0" w:rsidRPr="009637D2" w:rsidRDefault="007B0BF0" w:rsidP="00792286">
            <w:pPr>
              <w:rPr>
                <w:sz w:val="15"/>
                <w:szCs w:val="15"/>
                <w:lang w:val="id-ID"/>
              </w:rPr>
            </w:pPr>
            <w:r w:rsidRPr="009637D2">
              <w:rPr>
                <w:sz w:val="15"/>
                <w:szCs w:val="15"/>
                <w:lang w:val="id-ID"/>
              </w:rPr>
              <w:t xml:space="preserve">Mining and </w:t>
            </w:r>
            <w:r w:rsidR="00792286">
              <w:rPr>
                <w:sz w:val="15"/>
                <w:szCs w:val="15"/>
                <w:lang w:val="id-ID"/>
              </w:rPr>
              <w:t>Q</w:t>
            </w:r>
            <w:r w:rsidR="00792286" w:rsidRPr="00792286">
              <w:rPr>
                <w:sz w:val="15"/>
                <w:szCs w:val="15"/>
                <w:lang w:val="id-ID"/>
              </w:rPr>
              <w:t>uarrying</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1</w:t>
            </w:r>
            <w:r w:rsidRPr="007B0BF0">
              <w:rPr>
                <w:bCs/>
                <w:sz w:val="15"/>
                <w:szCs w:val="15"/>
                <w:lang w:val="id-ID"/>
              </w:rPr>
              <w:t>,</w:t>
            </w:r>
            <w:r w:rsidRPr="007B0BF0">
              <w:rPr>
                <w:bCs/>
                <w:sz w:val="15"/>
                <w:szCs w:val="15"/>
              </w:rPr>
              <w:t>912</w:t>
            </w:r>
            <w:r w:rsidRPr="007B0BF0">
              <w:rPr>
                <w:bCs/>
                <w:sz w:val="15"/>
                <w:szCs w:val="15"/>
                <w:lang w:val="id-ID"/>
              </w:rPr>
              <w:t>,</w:t>
            </w:r>
            <w:r w:rsidRPr="007B0BF0">
              <w:rPr>
                <w:bCs/>
                <w:sz w:val="15"/>
                <w:szCs w:val="15"/>
              </w:rPr>
              <w:t>007</w:t>
            </w:r>
          </w:p>
        </w:tc>
      </w:tr>
      <w:tr w:rsidR="007B0BF0" w:rsidRPr="009637D2" w:rsidTr="007B0BF0">
        <w:trPr>
          <w:trHeight w:val="149"/>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Processing Industry</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3</w:t>
            </w:r>
            <w:r w:rsidRPr="007B0BF0">
              <w:rPr>
                <w:bCs/>
                <w:sz w:val="15"/>
                <w:szCs w:val="15"/>
                <w:lang w:val="id-ID"/>
              </w:rPr>
              <w:t>,</w:t>
            </w:r>
            <w:r w:rsidRPr="007B0BF0">
              <w:rPr>
                <w:bCs/>
                <w:sz w:val="15"/>
                <w:szCs w:val="15"/>
              </w:rPr>
              <w:t>656</w:t>
            </w:r>
          </w:p>
        </w:tc>
      </w:tr>
      <w:tr w:rsidR="007B0BF0" w:rsidRPr="009637D2" w:rsidTr="007B0BF0">
        <w:trPr>
          <w:trHeight w:val="114"/>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 xml:space="preserve">Electricity, Gas and </w:t>
            </w:r>
            <w:r w:rsidR="001F1B43">
              <w:rPr>
                <w:sz w:val="15"/>
                <w:szCs w:val="15"/>
                <w:lang w:val="id-ID"/>
              </w:rPr>
              <w:t>Clean</w:t>
            </w:r>
            <w:r w:rsidRPr="00017ABD">
              <w:rPr>
                <w:sz w:val="15"/>
                <w:szCs w:val="15"/>
                <w:lang w:val="id-ID"/>
              </w:rPr>
              <w:t xml:space="preserve"> Water</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19</w:t>
            </w:r>
            <w:r w:rsidRPr="007B0BF0">
              <w:rPr>
                <w:bCs/>
                <w:sz w:val="15"/>
                <w:szCs w:val="15"/>
                <w:lang w:val="id-ID"/>
              </w:rPr>
              <w:t>,</w:t>
            </w:r>
            <w:r w:rsidRPr="007B0BF0">
              <w:rPr>
                <w:bCs/>
                <w:sz w:val="15"/>
                <w:szCs w:val="15"/>
              </w:rPr>
              <w:t>297</w:t>
            </w:r>
          </w:p>
        </w:tc>
      </w:tr>
      <w:tr w:rsidR="007B0BF0" w:rsidRPr="009637D2" w:rsidTr="007B0BF0">
        <w:trPr>
          <w:trHeight w:val="145"/>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Building and Construction</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671</w:t>
            </w:r>
            <w:r w:rsidRPr="007B0BF0">
              <w:rPr>
                <w:bCs/>
                <w:sz w:val="15"/>
                <w:szCs w:val="15"/>
                <w:lang w:val="id-ID"/>
              </w:rPr>
              <w:t>,</w:t>
            </w:r>
            <w:r w:rsidRPr="007B0BF0">
              <w:rPr>
                <w:bCs/>
                <w:sz w:val="15"/>
                <w:szCs w:val="15"/>
              </w:rPr>
              <w:t>317</w:t>
            </w:r>
          </w:p>
        </w:tc>
      </w:tr>
      <w:tr w:rsidR="007B0BF0" w:rsidRPr="009637D2" w:rsidTr="007B0BF0">
        <w:trPr>
          <w:trHeight w:val="119"/>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Trade, Hotels and Restaurants</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725</w:t>
            </w:r>
            <w:r w:rsidRPr="007B0BF0">
              <w:rPr>
                <w:bCs/>
                <w:sz w:val="15"/>
                <w:szCs w:val="15"/>
                <w:lang w:val="id-ID"/>
              </w:rPr>
              <w:t>,</w:t>
            </w:r>
            <w:r w:rsidRPr="007B0BF0">
              <w:rPr>
                <w:bCs/>
                <w:sz w:val="15"/>
                <w:szCs w:val="15"/>
              </w:rPr>
              <w:t>722</w:t>
            </w:r>
          </w:p>
        </w:tc>
      </w:tr>
      <w:tr w:rsidR="007B0BF0" w:rsidRPr="009637D2" w:rsidTr="007B0BF0">
        <w:trPr>
          <w:trHeight w:val="109"/>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Transportation and Communication</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117</w:t>
            </w:r>
            <w:r w:rsidRPr="007B0BF0">
              <w:rPr>
                <w:bCs/>
                <w:sz w:val="15"/>
                <w:szCs w:val="15"/>
                <w:lang w:val="id-ID"/>
              </w:rPr>
              <w:t>,</w:t>
            </w:r>
            <w:r w:rsidRPr="007B0BF0">
              <w:rPr>
                <w:bCs/>
                <w:sz w:val="15"/>
                <w:szCs w:val="15"/>
              </w:rPr>
              <w:t>143</w:t>
            </w:r>
          </w:p>
        </w:tc>
      </w:tr>
      <w:tr w:rsidR="007B0BF0" w:rsidRPr="009637D2" w:rsidTr="007B0BF0">
        <w:trPr>
          <w:trHeight w:val="50"/>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Finance, Leasing and Corporate Services</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20</w:t>
            </w:r>
            <w:r w:rsidRPr="007B0BF0">
              <w:rPr>
                <w:bCs/>
                <w:sz w:val="15"/>
                <w:szCs w:val="15"/>
                <w:lang w:val="id-ID"/>
              </w:rPr>
              <w:t>,</w:t>
            </w:r>
            <w:r w:rsidRPr="007B0BF0">
              <w:rPr>
                <w:bCs/>
                <w:sz w:val="15"/>
                <w:szCs w:val="15"/>
              </w:rPr>
              <w:t>946</w:t>
            </w:r>
          </w:p>
        </w:tc>
      </w:tr>
      <w:tr w:rsidR="007B0BF0" w:rsidRPr="009637D2" w:rsidTr="007B0BF0">
        <w:trPr>
          <w:trHeight w:val="52"/>
          <w:jc w:val="center"/>
        </w:trPr>
        <w:tc>
          <w:tcPr>
            <w:tcW w:w="3182" w:type="dxa"/>
            <w:shd w:val="clear" w:color="auto" w:fill="auto"/>
          </w:tcPr>
          <w:p w:rsidR="007B0BF0" w:rsidRPr="009637D2" w:rsidRDefault="007B0BF0" w:rsidP="007B0BF0">
            <w:pPr>
              <w:rPr>
                <w:sz w:val="15"/>
                <w:szCs w:val="15"/>
                <w:lang w:val="id-ID"/>
              </w:rPr>
            </w:pPr>
            <w:r w:rsidRPr="00017ABD">
              <w:rPr>
                <w:sz w:val="15"/>
                <w:szCs w:val="15"/>
                <w:lang w:val="id-ID"/>
              </w:rPr>
              <w:t>Services</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721.910</w:t>
            </w:r>
          </w:p>
        </w:tc>
      </w:tr>
      <w:tr w:rsidR="007B0BF0" w:rsidRPr="009637D2" w:rsidTr="007B0BF0">
        <w:trPr>
          <w:trHeight w:val="52"/>
          <w:jc w:val="center"/>
        </w:trPr>
        <w:tc>
          <w:tcPr>
            <w:tcW w:w="3182" w:type="dxa"/>
            <w:shd w:val="clear" w:color="auto" w:fill="auto"/>
          </w:tcPr>
          <w:p w:rsidR="007B0BF0" w:rsidRPr="00017ABD" w:rsidRDefault="007B0BF0" w:rsidP="007B0BF0">
            <w:pPr>
              <w:rPr>
                <w:sz w:val="15"/>
                <w:szCs w:val="15"/>
                <w:lang w:val="id-ID"/>
              </w:rPr>
            </w:pPr>
            <w:r>
              <w:rPr>
                <w:sz w:val="15"/>
                <w:szCs w:val="15"/>
                <w:lang w:val="id-ID"/>
              </w:rPr>
              <w:t>Average</w:t>
            </w:r>
          </w:p>
        </w:tc>
        <w:tc>
          <w:tcPr>
            <w:tcW w:w="1516" w:type="dxa"/>
            <w:shd w:val="clear" w:color="auto" w:fill="auto"/>
          </w:tcPr>
          <w:p w:rsidR="007B0BF0" w:rsidRPr="007B0BF0" w:rsidRDefault="007B0BF0" w:rsidP="007B0BF0">
            <w:pPr>
              <w:jc w:val="right"/>
              <w:rPr>
                <w:sz w:val="15"/>
                <w:szCs w:val="15"/>
                <w:lang w:val="id-ID"/>
              </w:rPr>
            </w:pPr>
            <w:r w:rsidRPr="007B0BF0">
              <w:rPr>
                <w:bCs/>
                <w:sz w:val="15"/>
                <w:szCs w:val="15"/>
              </w:rPr>
              <w:t>590</w:t>
            </w:r>
            <w:r w:rsidRPr="007B0BF0">
              <w:rPr>
                <w:bCs/>
                <w:sz w:val="15"/>
                <w:szCs w:val="15"/>
                <w:lang w:val="id-ID"/>
              </w:rPr>
              <w:t>,</w:t>
            </w:r>
            <w:r w:rsidRPr="007B0BF0">
              <w:rPr>
                <w:bCs/>
                <w:sz w:val="15"/>
                <w:szCs w:val="15"/>
              </w:rPr>
              <w:t>186</w:t>
            </w:r>
          </w:p>
        </w:tc>
      </w:tr>
    </w:tbl>
    <w:p w:rsidR="007B0BF0" w:rsidRDefault="007B0BF0" w:rsidP="007B0BF0">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research calculation, 2019</w:t>
      </w:r>
    </w:p>
    <w:p w:rsidR="007B0BF0" w:rsidRDefault="007B0BF0" w:rsidP="007B0BF0">
      <w:pPr>
        <w:pStyle w:val="BodyText"/>
        <w:spacing w:before="1" w:line="283" w:lineRule="auto"/>
        <w:ind w:right="87"/>
        <w:rPr>
          <w:color w:val="231F20"/>
          <w:w w:val="105"/>
          <w:sz w:val="15"/>
          <w:szCs w:val="15"/>
          <w:lang w:val="id-ID"/>
        </w:rPr>
      </w:pPr>
    </w:p>
    <w:p w:rsidR="00177E2E" w:rsidRPr="007B0BF0" w:rsidRDefault="00177E2E" w:rsidP="00177E2E">
      <w:pPr>
        <w:pStyle w:val="BodyText"/>
        <w:spacing w:before="1" w:line="283" w:lineRule="auto"/>
        <w:ind w:left="130" w:right="87" w:firstLine="170"/>
        <w:jc w:val="both"/>
        <w:rPr>
          <w:lang w:val="id-ID"/>
        </w:rPr>
      </w:pPr>
      <w:r w:rsidRPr="007B0BF0">
        <w:rPr>
          <w:lang w:val="id-ID"/>
        </w:rPr>
        <w:t xml:space="preserve">The highest growth was in the agriculture sector, and mining and </w:t>
      </w:r>
      <w:r w:rsidR="00792286" w:rsidRPr="00792286">
        <w:rPr>
          <w:lang w:val="id-ID"/>
        </w:rPr>
        <w:t>quarrying</w:t>
      </w:r>
      <w:r w:rsidR="00792286">
        <w:rPr>
          <w:lang w:val="id-ID"/>
        </w:rPr>
        <w:t xml:space="preserve"> </w:t>
      </w:r>
      <w:r w:rsidRPr="007B0BF0">
        <w:rPr>
          <w:lang w:val="id-ID"/>
        </w:rPr>
        <w:t xml:space="preserve">in Malinau </w:t>
      </w:r>
      <w:r>
        <w:rPr>
          <w:lang w:val="id-ID"/>
        </w:rPr>
        <w:t>Regency</w:t>
      </w:r>
      <w:r w:rsidRPr="007B0BF0">
        <w:rPr>
          <w:lang w:val="id-ID"/>
        </w:rPr>
        <w:t xml:space="preserve"> was influenced by the growth of the same sector in North Kalimantan Province during 2009-2018, amounting to 1,119,675 and 1,912,007 million rupiah for each sector.</w:t>
      </w:r>
    </w:p>
    <w:p w:rsidR="00177E2E" w:rsidRDefault="00177E2E" w:rsidP="007B0BF0">
      <w:pPr>
        <w:pStyle w:val="BodyText"/>
        <w:spacing w:before="1" w:line="283" w:lineRule="auto"/>
        <w:ind w:left="130" w:right="87" w:firstLine="170"/>
        <w:jc w:val="both"/>
        <w:rPr>
          <w:lang w:val="id-ID"/>
        </w:rPr>
      </w:pPr>
    </w:p>
    <w:p w:rsidR="00177E2E" w:rsidRDefault="00177E2E" w:rsidP="007B0BF0">
      <w:pPr>
        <w:pStyle w:val="BodyText"/>
        <w:spacing w:before="1" w:line="283" w:lineRule="auto"/>
        <w:ind w:left="130" w:right="87" w:firstLine="170"/>
        <w:jc w:val="both"/>
        <w:rPr>
          <w:lang w:val="id-ID"/>
        </w:rPr>
      </w:pPr>
    </w:p>
    <w:p w:rsidR="00AB07C5" w:rsidRDefault="00AB07C5" w:rsidP="007B0BF0">
      <w:pPr>
        <w:pStyle w:val="BodyText"/>
        <w:spacing w:before="1" w:line="283" w:lineRule="auto"/>
        <w:ind w:left="130" w:right="87" w:firstLine="170"/>
        <w:jc w:val="both"/>
        <w:rPr>
          <w:lang w:val="id-ID"/>
        </w:rPr>
      </w:pPr>
    </w:p>
    <w:p w:rsidR="00177E2E" w:rsidRDefault="00177E2E" w:rsidP="00177E2E">
      <w:pPr>
        <w:pStyle w:val="BodyText"/>
        <w:spacing w:before="1" w:line="283" w:lineRule="auto"/>
        <w:ind w:right="87"/>
        <w:jc w:val="both"/>
        <w:rPr>
          <w:lang w:val="id-ID"/>
        </w:rPr>
      </w:pPr>
    </w:p>
    <w:p w:rsidR="007B0BF0" w:rsidRDefault="007B0BF0" w:rsidP="007B0BF0">
      <w:pPr>
        <w:pStyle w:val="BodyText"/>
        <w:spacing w:before="1" w:line="283" w:lineRule="auto"/>
        <w:ind w:left="130" w:right="87" w:firstLine="170"/>
        <w:jc w:val="both"/>
        <w:rPr>
          <w:lang w:val="id-ID"/>
        </w:rPr>
      </w:pPr>
      <w:r w:rsidRPr="00A57990">
        <w:rPr>
          <w:highlight w:val="yellow"/>
          <w:lang w:val="id-ID"/>
        </w:rPr>
        <w:t>The effect of Indonesia's economic growth which shows the influence on the economy of Malinau Regency with a positive value (N</w:t>
      </w:r>
      <w:r w:rsidRPr="00A57990">
        <w:rPr>
          <w:highlight w:val="yellow"/>
          <w:vertAlign w:val="subscript"/>
          <w:lang w:val="id-ID"/>
        </w:rPr>
        <w:t>ij</w:t>
      </w:r>
      <w:r w:rsidRPr="00A57990">
        <w:rPr>
          <w:highlight w:val="yellow"/>
          <w:lang w:val="id-ID"/>
        </w:rPr>
        <w:t>) in each economic sector, so that the total value of output is 590,186 Bililion (IDR).</w:t>
      </w:r>
      <w:r w:rsidR="00A57990">
        <w:rPr>
          <w:color w:val="FF0000"/>
        </w:rPr>
        <w:t>-- rephrase</w:t>
      </w:r>
      <w:r w:rsidRPr="007B0BF0">
        <w:rPr>
          <w:lang w:val="id-ID"/>
        </w:rPr>
        <w:t xml:space="preserve"> </w:t>
      </w:r>
      <w:r w:rsidRPr="00A57990">
        <w:rPr>
          <w:highlight w:val="yellow"/>
          <w:lang w:val="id-ID"/>
        </w:rPr>
        <w:t xml:space="preserve">In addition, the increase in GDP growth value of the economic sector in Malinau </w:t>
      </w:r>
      <w:r w:rsidR="00177E2E" w:rsidRPr="00A57990">
        <w:rPr>
          <w:highlight w:val="yellow"/>
          <w:lang w:val="id-ID"/>
        </w:rPr>
        <w:t>Regency</w:t>
      </w:r>
      <w:r w:rsidRPr="00A57990">
        <w:rPr>
          <w:highlight w:val="yellow"/>
          <w:lang w:val="id-ID"/>
        </w:rPr>
        <w:t xml:space="preserve"> was influenced by several factors, including the influence of GDP growth in the economic sector of North Kalimantan Province (N</w:t>
      </w:r>
      <w:r w:rsidRPr="00A57990">
        <w:rPr>
          <w:highlight w:val="yellow"/>
          <w:vertAlign w:val="subscript"/>
          <w:lang w:val="id-ID"/>
        </w:rPr>
        <w:t>ij</w:t>
      </w:r>
      <w:r w:rsidRPr="00A57990">
        <w:rPr>
          <w:highlight w:val="yellow"/>
          <w:lang w:val="id-ID"/>
        </w:rPr>
        <w:t xml:space="preserve">) for 10 years with a total average of 590,186 </w:t>
      </w:r>
      <w:r w:rsidR="006B0314" w:rsidRPr="00A57990">
        <w:rPr>
          <w:highlight w:val="yellow"/>
          <w:lang w:val="id-ID"/>
        </w:rPr>
        <w:t>Million IDR</w:t>
      </w:r>
      <w:r w:rsidR="003A7E5E" w:rsidRPr="00A57990">
        <w:rPr>
          <w:highlight w:val="yellow"/>
          <w:lang w:val="id-ID"/>
        </w:rPr>
        <w:t xml:space="preserve"> per</w:t>
      </w:r>
      <w:r w:rsidRPr="00A57990">
        <w:rPr>
          <w:highlight w:val="yellow"/>
          <w:lang w:val="id-ID"/>
        </w:rPr>
        <w:t xml:space="preserve"> year or 5.65% which caused by changes due to the effect of national growth in this case North Kalimantan Province.</w:t>
      </w:r>
      <w:r w:rsidR="00A57990">
        <w:rPr>
          <w:color w:val="FF0000"/>
        </w:rPr>
        <w:t>-- rephrase</w:t>
      </w:r>
      <w:r w:rsidRPr="007B0BF0">
        <w:rPr>
          <w:lang w:val="id-ID"/>
        </w:rPr>
        <w:t xml:space="preserve"> This shows that the economy of Malinau Regency is still very dependent on the economy of North Kalimantan Province, Indonesia</w:t>
      </w:r>
      <w:r w:rsidRPr="00A57990">
        <w:rPr>
          <w:strike/>
          <w:color w:val="FF0000"/>
          <w:lang w:val="id-ID"/>
        </w:rPr>
        <w:t xml:space="preserve">, </w:t>
      </w:r>
      <w:r w:rsidRPr="007B0BF0">
        <w:rPr>
          <w:lang w:val="id-ID"/>
        </w:rPr>
        <w:t xml:space="preserve">and the </w:t>
      </w:r>
      <w:r w:rsidRPr="00A57990">
        <w:rPr>
          <w:highlight w:val="yellow"/>
          <w:lang w:val="id-ID"/>
        </w:rPr>
        <w:t>global level</w:t>
      </w:r>
      <w:r w:rsidR="00A57990">
        <w:rPr>
          <w:color w:val="FF0000"/>
        </w:rPr>
        <w:t>--reword</w:t>
      </w:r>
      <w:r w:rsidRPr="007B0BF0">
        <w:rPr>
          <w:lang w:val="id-ID"/>
        </w:rPr>
        <w:t>.</w:t>
      </w:r>
    </w:p>
    <w:p w:rsidR="007B0BF0" w:rsidRDefault="007B0BF0" w:rsidP="007B0BF0">
      <w:pPr>
        <w:pStyle w:val="BodyText"/>
        <w:spacing w:before="1" w:line="283" w:lineRule="auto"/>
        <w:ind w:left="130" w:right="87" w:firstLine="170"/>
        <w:jc w:val="both"/>
        <w:rPr>
          <w:lang w:val="id-ID"/>
        </w:rPr>
      </w:pPr>
      <w:r w:rsidRPr="007B0BF0">
        <w:rPr>
          <w:lang w:val="id-ID"/>
        </w:rPr>
        <w:t>The influence of the North Kalimantan Province (M</w:t>
      </w:r>
      <w:r w:rsidRPr="00177E2E">
        <w:rPr>
          <w:vertAlign w:val="subscript"/>
          <w:lang w:val="id-ID"/>
        </w:rPr>
        <w:t>ij</w:t>
      </w:r>
      <w:r w:rsidRPr="007B0BF0">
        <w:rPr>
          <w:lang w:val="id-ID"/>
        </w:rPr>
        <w:t xml:space="preserve">) industrial mix is ​​obtained from the sector GRDP (i) of the Malinau Regency region multiplied by the sector GRDP (i) growth or rin minus the North Kalimantan Province's total GRDP (rn) growth. </w:t>
      </w:r>
      <w:r w:rsidRPr="00A57990">
        <w:rPr>
          <w:highlight w:val="yellow"/>
          <w:lang w:val="id-ID"/>
        </w:rPr>
        <w:t>The influence of</w:t>
      </w:r>
      <w:r w:rsidR="003A7E5E" w:rsidRPr="00A57990">
        <w:rPr>
          <w:highlight w:val="yellow"/>
          <w:lang w:val="id-ID"/>
        </w:rPr>
        <w:t xml:space="preserve"> the effect of the sectoral mix</w:t>
      </w:r>
      <w:r w:rsidRPr="00A57990">
        <w:rPr>
          <w:highlight w:val="yellow"/>
          <w:lang w:val="id-ID"/>
        </w:rPr>
        <w:t xml:space="preserve"> on the economic growth of Malinau Regency, with a total average of 23.93% or 2.498,329 </w:t>
      </w:r>
      <w:r w:rsidR="006B0314" w:rsidRPr="00A57990">
        <w:rPr>
          <w:highlight w:val="yellow"/>
          <w:lang w:val="id-ID"/>
        </w:rPr>
        <w:t>Million IDR</w:t>
      </w:r>
      <w:r w:rsidRPr="00A57990">
        <w:rPr>
          <w:highlight w:val="yellow"/>
          <w:lang w:val="id-ID"/>
        </w:rPr>
        <w:t xml:space="preserve"> for 10 years.</w:t>
      </w:r>
      <w:r w:rsidR="00A57990">
        <w:rPr>
          <w:color w:val="FF0000"/>
        </w:rPr>
        <w:t>-- rephrase</w:t>
      </w:r>
      <w:r w:rsidRPr="007B0BF0">
        <w:rPr>
          <w:lang w:val="id-ID"/>
        </w:rPr>
        <w:t xml:space="preserve"> This means that t</w:t>
      </w:r>
      <w:r w:rsidR="003A7E5E">
        <w:rPr>
          <w:lang w:val="id-ID"/>
        </w:rPr>
        <w:t>he influence of the industrial or</w:t>
      </w:r>
      <w:r w:rsidRPr="007B0BF0">
        <w:rPr>
          <w:lang w:val="id-ID"/>
        </w:rPr>
        <w:t xml:space="preserve"> sectoral mix effect is quite capable of driving the economic growth of Malinau Regency. So, it can be said that the various sectors developed in Malinau </w:t>
      </w:r>
      <w:r w:rsidR="00177E2E">
        <w:rPr>
          <w:lang w:val="id-ID"/>
        </w:rPr>
        <w:t>Regency</w:t>
      </w:r>
      <w:r w:rsidRPr="007B0BF0">
        <w:rPr>
          <w:lang w:val="id-ID"/>
        </w:rPr>
        <w:t xml:space="preserve"> are in accordance with the sector developed at the Provincial level</w:t>
      </w:r>
      <w:r w:rsidR="004B5D61">
        <w:rPr>
          <w:color w:val="FF0000"/>
        </w:rPr>
        <w:t>,</w:t>
      </w:r>
      <w:r w:rsidRPr="007B0BF0">
        <w:rPr>
          <w:lang w:val="id-ID"/>
        </w:rPr>
        <w:t xml:space="preserve"> in this case</w:t>
      </w:r>
      <w:r w:rsidR="004B5D61">
        <w:rPr>
          <w:color w:val="FF0000"/>
        </w:rPr>
        <w:t>,</w:t>
      </w:r>
      <w:r w:rsidRPr="007B0BF0">
        <w:rPr>
          <w:lang w:val="id-ID"/>
        </w:rPr>
        <w:t xml:space="preserve"> North Kalimantan.</w:t>
      </w:r>
    </w:p>
    <w:p w:rsidR="007B0BF0" w:rsidRDefault="007B0BF0" w:rsidP="007B0BF0">
      <w:pPr>
        <w:pStyle w:val="BodyText"/>
        <w:spacing w:before="1" w:line="283" w:lineRule="auto"/>
        <w:ind w:left="130" w:right="87" w:firstLine="170"/>
        <w:jc w:val="both"/>
        <w:rPr>
          <w:lang w:val="id-ID"/>
        </w:rPr>
      </w:pPr>
    </w:p>
    <w:p w:rsidR="00A97D4C" w:rsidRDefault="00177E2E" w:rsidP="00177E2E">
      <w:pPr>
        <w:pStyle w:val="BodyText"/>
        <w:spacing w:before="1" w:line="283" w:lineRule="auto"/>
        <w:ind w:left="130" w:right="87"/>
        <w:jc w:val="center"/>
        <w:rPr>
          <w:color w:val="231F20"/>
          <w:w w:val="105"/>
          <w:sz w:val="15"/>
          <w:szCs w:val="15"/>
          <w:lang w:val="id-ID"/>
        </w:rPr>
      </w:pPr>
      <w:r>
        <w:rPr>
          <w:b/>
          <w:color w:val="231F20"/>
          <w:w w:val="105"/>
          <w:sz w:val="15"/>
          <w:szCs w:val="15"/>
          <w:lang w:val="id-ID"/>
        </w:rPr>
        <w:t>Table 3</w:t>
      </w:r>
      <w:r w:rsidRPr="009637D2">
        <w:rPr>
          <w:color w:val="231F20"/>
          <w:w w:val="105"/>
          <w:sz w:val="15"/>
          <w:szCs w:val="15"/>
          <w:lang w:val="id-ID"/>
        </w:rPr>
        <w:t xml:space="preserve">: </w:t>
      </w:r>
      <w:r w:rsidRPr="00177E2E">
        <w:rPr>
          <w:color w:val="231F20"/>
          <w:w w:val="105"/>
          <w:sz w:val="15"/>
          <w:szCs w:val="15"/>
          <w:lang w:val="id-ID"/>
        </w:rPr>
        <w:t xml:space="preserve">Average Shift Share Results Based on </w:t>
      </w:r>
      <w:r w:rsidR="00A97D4C">
        <w:rPr>
          <w:color w:val="231F20"/>
          <w:w w:val="105"/>
          <w:sz w:val="15"/>
          <w:szCs w:val="15"/>
          <w:lang w:val="id-ID"/>
        </w:rPr>
        <w:t xml:space="preserve">the </w:t>
      </w:r>
      <w:r w:rsidRPr="00177E2E">
        <w:rPr>
          <w:color w:val="231F20"/>
          <w:w w:val="105"/>
          <w:sz w:val="15"/>
          <w:szCs w:val="15"/>
          <w:lang w:val="id-ID"/>
        </w:rPr>
        <w:t xml:space="preserve">Industrial </w:t>
      </w:r>
    </w:p>
    <w:p w:rsidR="00177E2E" w:rsidRPr="009637D2" w:rsidRDefault="00177E2E" w:rsidP="00177E2E">
      <w:pPr>
        <w:pStyle w:val="BodyText"/>
        <w:spacing w:before="1" w:line="283" w:lineRule="auto"/>
        <w:ind w:left="130" w:right="87"/>
        <w:jc w:val="center"/>
        <w:rPr>
          <w:color w:val="231F20"/>
          <w:w w:val="105"/>
          <w:sz w:val="15"/>
          <w:szCs w:val="15"/>
          <w:lang w:val="id-ID"/>
        </w:rPr>
      </w:pPr>
      <w:r w:rsidRPr="00177E2E">
        <w:rPr>
          <w:color w:val="231F20"/>
          <w:w w:val="105"/>
          <w:sz w:val="15"/>
          <w:szCs w:val="15"/>
          <w:lang w:val="id-ID"/>
        </w:rPr>
        <w:t>Mix Component (M</w:t>
      </w:r>
      <w:r w:rsidRPr="00177E2E">
        <w:rPr>
          <w:color w:val="231F20"/>
          <w:w w:val="105"/>
          <w:sz w:val="15"/>
          <w:szCs w:val="15"/>
          <w:vertAlign w:val="subscript"/>
          <w:lang w:val="id-ID"/>
        </w:rPr>
        <w:t>ij</w:t>
      </w:r>
      <w:r w:rsidR="00E06274">
        <w:rPr>
          <w:color w:val="231F20"/>
          <w:w w:val="105"/>
          <w:sz w:val="15"/>
          <w:szCs w:val="15"/>
          <w:lang w:val="id-ID"/>
        </w:rPr>
        <w:t>) in Malinau Regency,</w:t>
      </w:r>
      <w:r w:rsidRPr="00177E2E">
        <w:rPr>
          <w:color w:val="231F20"/>
          <w:w w:val="105"/>
          <w:sz w:val="15"/>
          <w:szCs w:val="15"/>
          <w:lang w:val="id-ID"/>
        </w:rPr>
        <w:t xml:space="preserve"> 2009-2018</w:t>
      </w:r>
    </w:p>
    <w:tbl>
      <w:tblPr>
        <w:tblW w:w="48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99"/>
        <w:gridCol w:w="1613"/>
      </w:tblGrid>
      <w:tr w:rsidR="00177E2E" w:rsidRPr="009637D2" w:rsidTr="00177E2E">
        <w:trPr>
          <w:trHeight w:val="145"/>
          <w:jc w:val="center"/>
        </w:trPr>
        <w:tc>
          <w:tcPr>
            <w:tcW w:w="3199" w:type="dxa"/>
            <w:shd w:val="clear" w:color="auto" w:fill="F2F2F2" w:themeFill="background1" w:themeFillShade="F2"/>
            <w:vAlign w:val="center"/>
          </w:tcPr>
          <w:p w:rsidR="00177E2E" w:rsidRPr="009637D2" w:rsidRDefault="00177E2E" w:rsidP="007D5003">
            <w:pPr>
              <w:jc w:val="center"/>
              <w:rPr>
                <w:b/>
                <w:bCs/>
                <w:sz w:val="15"/>
                <w:szCs w:val="15"/>
                <w:lang w:val="id-ID"/>
              </w:rPr>
            </w:pPr>
            <w:r w:rsidRPr="009637D2">
              <w:rPr>
                <w:b/>
                <w:bCs/>
                <w:sz w:val="15"/>
                <w:szCs w:val="15"/>
                <w:lang w:val="id-ID"/>
              </w:rPr>
              <w:t>Business field</w:t>
            </w:r>
          </w:p>
        </w:tc>
        <w:tc>
          <w:tcPr>
            <w:tcW w:w="1613" w:type="dxa"/>
            <w:shd w:val="clear" w:color="auto" w:fill="F2F2F2" w:themeFill="background1" w:themeFillShade="F2"/>
            <w:vAlign w:val="center"/>
          </w:tcPr>
          <w:p w:rsidR="00177E2E" w:rsidRPr="009637D2" w:rsidRDefault="00177E2E" w:rsidP="007D5003">
            <w:pPr>
              <w:jc w:val="center"/>
              <w:rPr>
                <w:b/>
                <w:bCs/>
                <w:sz w:val="15"/>
                <w:szCs w:val="15"/>
                <w:lang w:val="id-ID"/>
              </w:rPr>
            </w:pPr>
            <w:r>
              <w:rPr>
                <w:b/>
                <w:bCs/>
                <w:sz w:val="15"/>
                <w:szCs w:val="15"/>
                <w:lang w:val="id-ID"/>
              </w:rPr>
              <w:t>M</w:t>
            </w:r>
            <w:r w:rsidRPr="007B0BF0">
              <w:rPr>
                <w:b/>
                <w:bCs/>
                <w:sz w:val="15"/>
                <w:szCs w:val="15"/>
                <w:vertAlign w:val="subscript"/>
                <w:lang w:val="id-ID"/>
              </w:rPr>
              <w:t>ij</w:t>
            </w:r>
            <w:r>
              <w:rPr>
                <w:b/>
                <w:bCs/>
                <w:sz w:val="15"/>
                <w:szCs w:val="15"/>
                <w:lang w:val="id-ID"/>
              </w:rPr>
              <w:t xml:space="preserve"> (</w:t>
            </w:r>
            <w:r w:rsidR="006B0314">
              <w:rPr>
                <w:b/>
                <w:bCs/>
                <w:sz w:val="15"/>
                <w:szCs w:val="15"/>
                <w:lang w:val="id-ID"/>
              </w:rPr>
              <w:t>Million</w:t>
            </w:r>
            <w:r>
              <w:rPr>
                <w:b/>
                <w:bCs/>
                <w:sz w:val="15"/>
                <w:szCs w:val="15"/>
                <w:lang w:val="id-ID"/>
              </w:rPr>
              <w:t xml:space="preserve"> IDR)</w:t>
            </w:r>
          </w:p>
        </w:tc>
      </w:tr>
      <w:tr w:rsidR="00177E2E" w:rsidRPr="009637D2" w:rsidTr="00177E2E">
        <w:trPr>
          <w:trHeight w:val="91"/>
          <w:jc w:val="center"/>
        </w:trPr>
        <w:tc>
          <w:tcPr>
            <w:tcW w:w="3199" w:type="dxa"/>
            <w:shd w:val="clear" w:color="auto" w:fill="auto"/>
          </w:tcPr>
          <w:p w:rsidR="00177E2E" w:rsidRPr="009637D2" w:rsidRDefault="00177E2E" w:rsidP="007D5003">
            <w:pPr>
              <w:rPr>
                <w:sz w:val="15"/>
                <w:szCs w:val="15"/>
                <w:lang w:val="id-ID"/>
              </w:rPr>
            </w:pPr>
            <w:r>
              <w:rPr>
                <w:sz w:val="15"/>
                <w:szCs w:val="15"/>
                <w:lang w:val="id-ID"/>
              </w:rPr>
              <w:t>Agriculture</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4,085,974</w:t>
            </w:r>
          </w:p>
        </w:tc>
      </w:tr>
      <w:tr w:rsidR="00177E2E" w:rsidRPr="009637D2" w:rsidTr="00177E2E">
        <w:trPr>
          <w:trHeight w:val="164"/>
          <w:jc w:val="center"/>
        </w:trPr>
        <w:tc>
          <w:tcPr>
            <w:tcW w:w="3199" w:type="dxa"/>
            <w:shd w:val="clear" w:color="auto" w:fill="auto"/>
          </w:tcPr>
          <w:p w:rsidR="00177E2E" w:rsidRPr="009637D2" w:rsidRDefault="00177E2E" w:rsidP="00792286">
            <w:pPr>
              <w:rPr>
                <w:sz w:val="15"/>
                <w:szCs w:val="15"/>
                <w:lang w:val="id-ID"/>
              </w:rPr>
            </w:pPr>
            <w:r w:rsidRPr="009637D2">
              <w:rPr>
                <w:sz w:val="15"/>
                <w:szCs w:val="15"/>
                <w:lang w:val="id-ID"/>
              </w:rPr>
              <w:t xml:space="preserve">Mining and </w:t>
            </w:r>
            <w:r w:rsidR="00792286">
              <w:rPr>
                <w:sz w:val="15"/>
                <w:szCs w:val="15"/>
                <w:lang w:val="id-ID"/>
              </w:rPr>
              <w:t>Q</w:t>
            </w:r>
            <w:r w:rsidR="00792286" w:rsidRPr="00792286">
              <w:rPr>
                <w:sz w:val="15"/>
                <w:szCs w:val="15"/>
                <w:lang w:val="id-ID"/>
              </w:rPr>
              <w:t>uarrying</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7,667,719</w:t>
            </w:r>
          </w:p>
        </w:tc>
      </w:tr>
      <w:tr w:rsidR="00177E2E" w:rsidRPr="009637D2" w:rsidTr="00177E2E">
        <w:trPr>
          <w:trHeight w:val="149"/>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Processing Industry</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1,891</w:t>
            </w:r>
          </w:p>
        </w:tc>
      </w:tr>
      <w:tr w:rsidR="00177E2E" w:rsidRPr="009637D2" w:rsidTr="00177E2E">
        <w:trPr>
          <w:trHeight w:val="114"/>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 xml:space="preserve">Electricity, Gas and </w:t>
            </w:r>
            <w:r w:rsidR="001F1B43">
              <w:rPr>
                <w:sz w:val="15"/>
                <w:szCs w:val="15"/>
                <w:lang w:val="id-ID"/>
              </w:rPr>
              <w:t>Clean</w:t>
            </w:r>
            <w:r w:rsidRPr="00017ABD">
              <w:rPr>
                <w:sz w:val="15"/>
                <w:szCs w:val="15"/>
                <w:lang w:val="id-ID"/>
              </w:rPr>
              <w:t xml:space="preserve"> Water</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51,612</w:t>
            </w:r>
          </w:p>
        </w:tc>
      </w:tr>
      <w:tr w:rsidR="00177E2E" w:rsidRPr="009637D2" w:rsidTr="00177E2E">
        <w:trPr>
          <w:trHeight w:val="145"/>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Building and Construction</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6,877,577</w:t>
            </w:r>
          </w:p>
        </w:tc>
      </w:tr>
      <w:tr w:rsidR="00177E2E" w:rsidRPr="009637D2" w:rsidTr="00177E2E">
        <w:trPr>
          <w:trHeight w:val="119"/>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Trade, Hotels and Restaurants</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1,602,888</w:t>
            </w:r>
          </w:p>
        </w:tc>
      </w:tr>
      <w:tr w:rsidR="00177E2E" w:rsidRPr="009637D2" w:rsidTr="00177E2E">
        <w:trPr>
          <w:trHeight w:val="109"/>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Transportation and Communication</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359,516</w:t>
            </w:r>
          </w:p>
        </w:tc>
      </w:tr>
      <w:tr w:rsidR="00177E2E" w:rsidRPr="009637D2" w:rsidTr="00177E2E">
        <w:trPr>
          <w:trHeight w:val="50"/>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Finance, Leasing and Corporate Services</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65,564</w:t>
            </w:r>
          </w:p>
        </w:tc>
      </w:tr>
      <w:tr w:rsidR="00177E2E" w:rsidRPr="009637D2" w:rsidTr="00177E2E">
        <w:trPr>
          <w:trHeight w:val="52"/>
          <w:jc w:val="center"/>
        </w:trPr>
        <w:tc>
          <w:tcPr>
            <w:tcW w:w="3199" w:type="dxa"/>
            <w:shd w:val="clear" w:color="auto" w:fill="auto"/>
          </w:tcPr>
          <w:p w:rsidR="00177E2E" w:rsidRPr="009637D2" w:rsidRDefault="00177E2E" w:rsidP="007D5003">
            <w:pPr>
              <w:rPr>
                <w:sz w:val="15"/>
                <w:szCs w:val="15"/>
                <w:lang w:val="id-ID"/>
              </w:rPr>
            </w:pPr>
            <w:r w:rsidRPr="00017ABD">
              <w:rPr>
                <w:sz w:val="15"/>
                <w:szCs w:val="15"/>
                <w:lang w:val="id-ID"/>
              </w:rPr>
              <w:t>Services</w:t>
            </w:r>
          </w:p>
        </w:tc>
        <w:tc>
          <w:tcPr>
            <w:tcW w:w="1613" w:type="dxa"/>
            <w:shd w:val="clear" w:color="auto" w:fill="auto"/>
          </w:tcPr>
          <w:p w:rsidR="00177E2E" w:rsidRPr="00177E2E" w:rsidRDefault="00177E2E" w:rsidP="007D5003">
            <w:pPr>
              <w:jc w:val="right"/>
              <w:rPr>
                <w:sz w:val="15"/>
                <w:szCs w:val="15"/>
                <w:lang w:val="id-ID"/>
              </w:rPr>
            </w:pPr>
            <w:r w:rsidRPr="00177E2E">
              <w:rPr>
                <w:sz w:val="15"/>
                <w:szCs w:val="15"/>
                <w:lang w:val="id-ID"/>
              </w:rPr>
              <w:t>1,772,221</w:t>
            </w:r>
          </w:p>
        </w:tc>
      </w:tr>
      <w:tr w:rsidR="00177E2E" w:rsidRPr="009637D2" w:rsidTr="00177E2E">
        <w:trPr>
          <w:trHeight w:val="52"/>
          <w:jc w:val="center"/>
        </w:trPr>
        <w:tc>
          <w:tcPr>
            <w:tcW w:w="3199" w:type="dxa"/>
            <w:shd w:val="clear" w:color="auto" w:fill="auto"/>
          </w:tcPr>
          <w:p w:rsidR="00177E2E" w:rsidRPr="00177E2E" w:rsidRDefault="00177E2E" w:rsidP="007D5003">
            <w:pPr>
              <w:rPr>
                <w:sz w:val="15"/>
                <w:szCs w:val="15"/>
                <w:lang w:val="id-ID"/>
              </w:rPr>
            </w:pPr>
            <w:r w:rsidRPr="00177E2E">
              <w:rPr>
                <w:sz w:val="15"/>
                <w:szCs w:val="15"/>
                <w:lang w:val="id-ID"/>
              </w:rPr>
              <w:t>Average</w:t>
            </w:r>
          </w:p>
        </w:tc>
        <w:tc>
          <w:tcPr>
            <w:tcW w:w="1613" w:type="dxa"/>
            <w:shd w:val="clear" w:color="auto" w:fill="auto"/>
          </w:tcPr>
          <w:p w:rsidR="00177E2E" w:rsidRPr="00177E2E" w:rsidRDefault="00177E2E" w:rsidP="007D5003">
            <w:pPr>
              <w:jc w:val="right"/>
              <w:rPr>
                <w:sz w:val="15"/>
                <w:szCs w:val="15"/>
                <w:lang w:val="id-ID"/>
              </w:rPr>
            </w:pPr>
            <w:r>
              <w:rPr>
                <w:sz w:val="15"/>
                <w:szCs w:val="15"/>
                <w:lang w:val="id-ID"/>
              </w:rPr>
              <w:t>2,498,</w:t>
            </w:r>
            <w:r w:rsidRPr="00177E2E">
              <w:rPr>
                <w:sz w:val="15"/>
                <w:szCs w:val="15"/>
                <w:lang w:val="id-ID"/>
              </w:rPr>
              <w:t>329</w:t>
            </w:r>
          </w:p>
        </w:tc>
      </w:tr>
    </w:tbl>
    <w:p w:rsidR="00177E2E" w:rsidRDefault="00177E2E" w:rsidP="00177E2E">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research calculation, 2019</w:t>
      </w:r>
    </w:p>
    <w:p w:rsidR="00C70335" w:rsidRDefault="00C70335" w:rsidP="00C70335">
      <w:pPr>
        <w:pStyle w:val="BodyText"/>
        <w:spacing w:before="1" w:line="283" w:lineRule="auto"/>
        <w:ind w:right="87"/>
        <w:rPr>
          <w:color w:val="231F20"/>
          <w:w w:val="105"/>
          <w:sz w:val="15"/>
          <w:szCs w:val="15"/>
          <w:lang w:val="id-ID"/>
        </w:rPr>
      </w:pPr>
    </w:p>
    <w:p w:rsidR="00267B54" w:rsidRPr="00267B54" w:rsidRDefault="00267B54" w:rsidP="00267B54">
      <w:pPr>
        <w:pStyle w:val="BodyText"/>
        <w:spacing w:before="1" w:line="283" w:lineRule="auto"/>
        <w:ind w:left="130" w:right="87" w:firstLine="170"/>
        <w:jc w:val="both"/>
        <w:rPr>
          <w:lang w:val="id-ID"/>
        </w:rPr>
      </w:pPr>
      <w:r w:rsidRPr="00267B54">
        <w:rPr>
          <w:lang w:val="id-ID"/>
        </w:rPr>
        <w:t>The positive influence of the industrial mix (M</w:t>
      </w:r>
      <w:r w:rsidRPr="00267B54">
        <w:rPr>
          <w:vertAlign w:val="subscript"/>
          <w:lang w:val="id-ID"/>
        </w:rPr>
        <w:t>ij</w:t>
      </w:r>
      <w:r w:rsidRPr="00267B54">
        <w:rPr>
          <w:lang w:val="id-ID"/>
        </w:rPr>
        <w:t xml:space="preserve">) component shows that the growth rate of the economic sector in Malinau </w:t>
      </w:r>
      <w:r w:rsidR="00A97D4C">
        <w:rPr>
          <w:lang w:val="id-ID"/>
        </w:rPr>
        <w:t>Regency</w:t>
      </w:r>
      <w:r w:rsidRPr="00267B54">
        <w:rPr>
          <w:lang w:val="id-ID"/>
        </w:rPr>
        <w:t xml:space="preserve"> has increased. All sectors </w:t>
      </w:r>
      <w:r w:rsidR="004B5D61">
        <w:rPr>
          <w:color w:val="FF0000"/>
        </w:rPr>
        <w:t xml:space="preserve">have </w:t>
      </w:r>
      <w:r w:rsidRPr="00267B54">
        <w:rPr>
          <w:lang w:val="id-ID"/>
        </w:rPr>
        <w:t xml:space="preserve">experienced positive growth, where mining and quarrying were the sectors that had the highest average growth of 7,667,719 </w:t>
      </w:r>
      <w:r w:rsidR="006B0314">
        <w:rPr>
          <w:lang w:val="id-ID"/>
        </w:rPr>
        <w:t>Million IDR</w:t>
      </w:r>
      <w:r w:rsidRPr="00267B54">
        <w:rPr>
          <w:lang w:val="id-ID"/>
        </w:rPr>
        <w:t>.</w:t>
      </w:r>
    </w:p>
    <w:p w:rsidR="00267B54" w:rsidRDefault="00267B54" w:rsidP="00267B54">
      <w:pPr>
        <w:pStyle w:val="BodyText"/>
        <w:spacing w:before="1" w:line="283" w:lineRule="auto"/>
        <w:ind w:left="130" w:right="87" w:firstLine="170"/>
        <w:jc w:val="both"/>
        <w:rPr>
          <w:lang w:val="id-ID"/>
        </w:rPr>
      </w:pPr>
      <w:r w:rsidRPr="00267B54">
        <w:rPr>
          <w:lang w:val="id-ID"/>
        </w:rPr>
        <w:t xml:space="preserve">The influence of Malinau Regency's competitiveness on the economy of North Kalimantan Province was very large or positive, which was 70.41% or the average amount over the period 2009-2018 reaching 7,349,596 </w:t>
      </w:r>
      <w:r w:rsidR="006B0314">
        <w:rPr>
          <w:lang w:val="id-ID"/>
        </w:rPr>
        <w:t>Million IDR</w:t>
      </w:r>
      <w:r w:rsidRPr="00267B54">
        <w:rPr>
          <w:lang w:val="id-ID"/>
        </w:rPr>
        <w:t xml:space="preserve">. This is much higher than the influence of the economic growth component of North Kalimantan Province, thus indicating the high level of competitiveness or low independence of the Malinau </w:t>
      </w:r>
      <w:r w:rsidR="00A97D4C">
        <w:rPr>
          <w:lang w:val="id-ID"/>
        </w:rPr>
        <w:t>Regency</w:t>
      </w:r>
      <w:r w:rsidRPr="00267B54">
        <w:rPr>
          <w:lang w:val="id-ID"/>
        </w:rPr>
        <w:t xml:space="preserve"> (</w:t>
      </w:r>
      <w:r w:rsidRPr="00267B54">
        <w:rPr>
          <w:i/>
          <w:lang w:val="id-ID"/>
        </w:rPr>
        <w:t>Table 3</w:t>
      </w:r>
      <w:r w:rsidRPr="00267B54">
        <w:rPr>
          <w:lang w:val="id-ID"/>
        </w:rPr>
        <w:t>).</w:t>
      </w:r>
    </w:p>
    <w:p w:rsidR="00267B54" w:rsidRDefault="00267B54"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Default="00A97D4C" w:rsidP="00C70335">
      <w:pPr>
        <w:pStyle w:val="BodyText"/>
        <w:spacing w:before="1" w:line="283" w:lineRule="auto"/>
        <w:ind w:right="87"/>
        <w:rPr>
          <w:color w:val="231F20"/>
          <w:w w:val="105"/>
          <w:sz w:val="15"/>
          <w:szCs w:val="15"/>
          <w:lang w:val="id-ID"/>
        </w:rPr>
      </w:pPr>
    </w:p>
    <w:p w:rsidR="00A97D4C" w:rsidRPr="009637D2" w:rsidRDefault="00A97D4C" w:rsidP="00A97D4C">
      <w:pPr>
        <w:pStyle w:val="BodyText"/>
        <w:spacing w:before="1" w:line="283" w:lineRule="auto"/>
        <w:ind w:left="130" w:right="87"/>
        <w:jc w:val="center"/>
        <w:rPr>
          <w:color w:val="231F20"/>
          <w:w w:val="105"/>
          <w:sz w:val="15"/>
          <w:szCs w:val="15"/>
          <w:lang w:val="id-ID"/>
        </w:rPr>
      </w:pPr>
      <w:r>
        <w:rPr>
          <w:b/>
          <w:color w:val="231F20"/>
          <w:w w:val="105"/>
          <w:sz w:val="15"/>
          <w:szCs w:val="15"/>
          <w:lang w:val="id-ID"/>
        </w:rPr>
        <w:lastRenderedPageBreak/>
        <w:t>Table 4</w:t>
      </w:r>
      <w:r w:rsidRPr="009637D2">
        <w:rPr>
          <w:color w:val="231F20"/>
          <w:w w:val="105"/>
          <w:sz w:val="15"/>
          <w:szCs w:val="15"/>
          <w:lang w:val="id-ID"/>
        </w:rPr>
        <w:t xml:space="preserve">: </w:t>
      </w:r>
      <w:r w:rsidRPr="00A97D4C">
        <w:rPr>
          <w:color w:val="231F20"/>
          <w:w w:val="105"/>
          <w:sz w:val="15"/>
          <w:szCs w:val="15"/>
          <w:lang w:val="id-ID"/>
        </w:rPr>
        <w:t>Results of Average Shift Share Based on the Competitive Advantage Component (C</w:t>
      </w:r>
      <w:r w:rsidRPr="00A97D4C">
        <w:rPr>
          <w:color w:val="231F20"/>
          <w:w w:val="105"/>
          <w:sz w:val="15"/>
          <w:szCs w:val="15"/>
          <w:vertAlign w:val="subscript"/>
          <w:lang w:val="id-ID"/>
        </w:rPr>
        <w:t>ij</w:t>
      </w:r>
      <w:r w:rsidR="00E06274">
        <w:rPr>
          <w:color w:val="231F20"/>
          <w:w w:val="105"/>
          <w:sz w:val="15"/>
          <w:szCs w:val="15"/>
          <w:lang w:val="id-ID"/>
        </w:rPr>
        <w:t xml:space="preserve">) in Malinau Regency, </w:t>
      </w:r>
      <w:r w:rsidRPr="00A97D4C">
        <w:rPr>
          <w:color w:val="231F20"/>
          <w:w w:val="105"/>
          <w:sz w:val="15"/>
          <w:szCs w:val="15"/>
          <w:lang w:val="id-ID"/>
        </w:rPr>
        <w:t>2009-2018</w:t>
      </w:r>
    </w:p>
    <w:tbl>
      <w:tblPr>
        <w:tblW w:w="46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78"/>
        <w:gridCol w:w="1516"/>
      </w:tblGrid>
      <w:tr w:rsidR="00A97D4C" w:rsidRPr="009637D2" w:rsidTr="00A97D4C">
        <w:trPr>
          <w:trHeight w:val="145"/>
          <w:jc w:val="center"/>
        </w:trPr>
        <w:tc>
          <w:tcPr>
            <w:tcW w:w="3178" w:type="dxa"/>
            <w:shd w:val="clear" w:color="auto" w:fill="F2F2F2" w:themeFill="background1" w:themeFillShade="F2"/>
            <w:vAlign w:val="center"/>
          </w:tcPr>
          <w:p w:rsidR="00A97D4C" w:rsidRPr="009637D2" w:rsidRDefault="00A97D4C" w:rsidP="007D5003">
            <w:pPr>
              <w:jc w:val="center"/>
              <w:rPr>
                <w:b/>
                <w:bCs/>
                <w:sz w:val="15"/>
                <w:szCs w:val="15"/>
                <w:lang w:val="id-ID"/>
              </w:rPr>
            </w:pPr>
            <w:r w:rsidRPr="009637D2">
              <w:rPr>
                <w:b/>
                <w:bCs/>
                <w:sz w:val="15"/>
                <w:szCs w:val="15"/>
                <w:lang w:val="id-ID"/>
              </w:rPr>
              <w:t>Business field</w:t>
            </w:r>
          </w:p>
        </w:tc>
        <w:tc>
          <w:tcPr>
            <w:tcW w:w="1516" w:type="dxa"/>
            <w:shd w:val="clear" w:color="auto" w:fill="F2F2F2" w:themeFill="background1" w:themeFillShade="F2"/>
            <w:vAlign w:val="center"/>
          </w:tcPr>
          <w:p w:rsidR="00A97D4C" w:rsidRPr="009637D2" w:rsidRDefault="00A97D4C" w:rsidP="007D5003">
            <w:pPr>
              <w:jc w:val="center"/>
              <w:rPr>
                <w:b/>
                <w:bCs/>
                <w:sz w:val="15"/>
                <w:szCs w:val="15"/>
                <w:lang w:val="id-ID"/>
              </w:rPr>
            </w:pPr>
            <w:r>
              <w:rPr>
                <w:b/>
                <w:bCs/>
                <w:sz w:val="15"/>
                <w:szCs w:val="15"/>
                <w:lang w:val="id-ID"/>
              </w:rPr>
              <w:t>C</w:t>
            </w:r>
            <w:r w:rsidRPr="007B0BF0">
              <w:rPr>
                <w:b/>
                <w:bCs/>
                <w:sz w:val="15"/>
                <w:szCs w:val="15"/>
                <w:vertAlign w:val="subscript"/>
                <w:lang w:val="id-ID"/>
              </w:rPr>
              <w:t>ij</w:t>
            </w:r>
            <w:r>
              <w:rPr>
                <w:b/>
                <w:bCs/>
                <w:sz w:val="15"/>
                <w:szCs w:val="15"/>
                <w:lang w:val="id-ID"/>
              </w:rPr>
              <w:t xml:space="preserve"> (</w:t>
            </w:r>
            <w:r w:rsidR="006B0314">
              <w:rPr>
                <w:b/>
                <w:bCs/>
                <w:sz w:val="15"/>
                <w:szCs w:val="15"/>
                <w:lang w:val="id-ID"/>
              </w:rPr>
              <w:t>Million</w:t>
            </w:r>
            <w:r>
              <w:rPr>
                <w:b/>
                <w:bCs/>
                <w:sz w:val="15"/>
                <w:szCs w:val="15"/>
                <w:lang w:val="id-ID"/>
              </w:rPr>
              <w:t xml:space="preserve"> IDR)</w:t>
            </w:r>
          </w:p>
        </w:tc>
      </w:tr>
      <w:tr w:rsidR="00A97D4C" w:rsidRPr="009637D2" w:rsidTr="00A97D4C">
        <w:trPr>
          <w:trHeight w:val="91"/>
          <w:jc w:val="center"/>
        </w:trPr>
        <w:tc>
          <w:tcPr>
            <w:tcW w:w="3178" w:type="dxa"/>
            <w:shd w:val="clear" w:color="auto" w:fill="auto"/>
          </w:tcPr>
          <w:p w:rsidR="00A97D4C" w:rsidRPr="009637D2" w:rsidRDefault="00A97D4C" w:rsidP="007D5003">
            <w:pPr>
              <w:rPr>
                <w:sz w:val="15"/>
                <w:szCs w:val="15"/>
                <w:lang w:val="id-ID"/>
              </w:rPr>
            </w:pPr>
            <w:r>
              <w:rPr>
                <w:sz w:val="15"/>
                <w:szCs w:val="15"/>
                <w:lang w:val="id-ID"/>
              </w:rPr>
              <w:t>Agriculture</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-2,847,517</w:t>
            </w:r>
          </w:p>
        </w:tc>
      </w:tr>
      <w:tr w:rsidR="00A97D4C" w:rsidRPr="009637D2" w:rsidTr="00A97D4C">
        <w:trPr>
          <w:trHeight w:val="164"/>
          <w:jc w:val="center"/>
        </w:trPr>
        <w:tc>
          <w:tcPr>
            <w:tcW w:w="3178" w:type="dxa"/>
            <w:shd w:val="clear" w:color="auto" w:fill="auto"/>
          </w:tcPr>
          <w:p w:rsidR="00A97D4C" w:rsidRPr="009637D2" w:rsidRDefault="00A97D4C" w:rsidP="00792286">
            <w:pPr>
              <w:rPr>
                <w:sz w:val="15"/>
                <w:szCs w:val="15"/>
                <w:lang w:val="id-ID"/>
              </w:rPr>
            </w:pPr>
            <w:r w:rsidRPr="009637D2">
              <w:rPr>
                <w:sz w:val="15"/>
                <w:szCs w:val="15"/>
                <w:lang w:val="id-ID"/>
              </w:rPr>
              <w:t xml:space="preserve">Mining and </w:t>
            </w:r>
            <w:r w:rsidR="00792286">
              <w:rPr>
                <w:sz w:val="15"/>
                <w:szCs w:val="15"/>
                <w:lang w:val="id-ID"/>
              </w:rPr>
              <w:t>Q</w:t>
            </w:r>
            <w:r w:rsidR="00792286" w:rsidRPr="00792286">
              <w:rPr>
                <w:sz w:val="15"/>
                <w:szCs w:val="15"/>
                <w:lang w:val="id-ID"/>
              </w:rPr>
              <w:t>uarrying</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43,610,348</w:t>
            </w:r>
          </w:p>
        </w:tc>
      </w:tr>
      <w:tr w:rsidR="00A97D4C" w:rsidRPr="009637D2" w:rsidTr="00A97D4C">
        <w:trPr>
          <w:trHeight w:val="149"/>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Processing Industry</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19,160</w:t>
            </w:r>
          </w:p>
        </w:tc>
      </w:tr>
      <w:tr w:rsidR="00A97D4C" w:rsidRPr="009637D2" w:rsidTr="00A97D4C">
        <w:trPr>
          <w:trHeight w:val="114"/>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 xml:space="preserve">Electricity, Gas and </w:t>
            </w:r>
            <w:r w:rsidR="001F1B43">
              <w:rPr>
                <w:sz w:val="15"/>
                <w:szCs w:val="15"/>
                <w:lang w:val="id-ID"/>
              </w:rPr>
              <w:t>Clean</w:t>
            </w:r>
            <w:r w:rsidRPr="00017ABD">
              <w:rPr>
                <w:sz w:val="15"/>
                <w:szCs w:val="15"/>
                <w:lang w:val="id-ID"/>
              </w:rPr>
              <w:t xml:space="preserve"> Water</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211,872</w:t>
            </w:r>
          </w:p>
        </w:tc>
      </w:tr>
      <w:tr w:rsidR="00A97D4C" w:rsidRPr="009637D2" w:rsidTr="00A97D4C">
        <w:trPr>
          <w:trHeight w:val="145"/>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Building and Construction</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-3,481,391</w:t>
            </w:r>
          </w:p>
        </w:tc>
      </w:tr>
      <w:tr w:rsidR="00A97D4C" w:rsidRPr="009637D2" w:rsidTr="00A97D4C">
        <w:trPr>
          <w:trHeight w:val="119"/>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Trade, Hotels and Restaurants</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1,836,460</w:t>
            </w:r>
          </w:p>
        </w:tc>
      </w:tr>
      <w:tr w:rsidR="00A97D4C" w:rsidRPr="009637D2" w:rsidTr="00A97D4C">
        <w:trPr>
          <w:trHeight w:val="109"/>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Transportation and Communication</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474,080</w:t>
            </w:r>
          </w:p>
        </w:tc>
      </w:tr>
      <w:tr w:rsidR="00A97D4C" w:rsidRPr="009637D2" w:rsidTr="00A97D4C">
        <w:trPr>
          <w:trHeight w:val="50"/>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Finance, Leasing and Corporate Services</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143,869</w:t>
            </w:r>
          </w:p>
        </w:tc>
      </w:tr>
      <w:tr w:rsidR="00A97D4C" w:rsidRPr="009637D2" w:rsidTr="00A97D4C">
        <w:trPr>
          <w:trHeight w:val="52"/>
          <w:jc w:val="center"/>
        </w:trPr>
        <w:tc>
          <w:tcPr>
            <w:tcW w:w="3178" w:type="dxa"/>
            <w:shd w:val="clear" w:color="auto" w:fill="auto"/>
          </w:tcPr>
          <w:p w:rsidR="00A97D4C" w:rsidRPr="009637D2" w:rsidRDefault="00A97D4C" w:rsidP="007D5003">
            <w:pPr>
              <w:rPr>
                <w:sz w:val="15"/>
                <w:szCs w:val="15"/>
                <w:lang w:val="id-ID"/>
              </w:rPr>
            </w:pPr>
            <w:r w:rsidRPr="00017ABD">
              <w:rPr>
                <w:sz w:val="15"/>
                <w:szCs w:val="15"/>
                <w:lang w:val="id-ID"/>
              </w:rPr>
              <w:t>Services</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26,179,482</w:t>
            </w:r>
          </w:p>
        </w:tc>
      </w:tr>
      <w:tr w:rsidR="00A97D4C" w:rsidRPr="009637D2" w:rsidTr="00A97D4C">
        <w:trPr>
          <w:trHeight w:val="52"/>
          <w:jc w:val="center"/>
        </w:trPr>
        <w:tc>
          <w:tcPr>
            <w:tcW w:w="3178" w:type="dxa"/>
            <w:shd w:val="clear" w:color="auto" w:fill="auto"/>
          </w:tcPr>
          <w:p w:rsidR="00A97D4C" w:rsidRPr="00177E2E" w:rsidRDefault="00A97D4C" w:rsidP="007D5003">
            <w:pPr>
              <w:rPr>
                <w:sz w:val="15"/>
                <w:szCs w:val="15"/>
                <w:lang w:val="id-ID"/>
              </w:rPr>
            </w:pPr>
            <w:r w:rsidRPr="00177E2E">
              <w:rPr>
                <w:sz w:val="15"/>
                <w:szCs w:val="15"/>
                <w:lang w:val="id-ID"/>
              </w:rPr>
              <w:t>Average</w:t>
            </w:r>
          </w:p>
        </w:tc>
        <w:tc>
          <w:tcPr>
            <w:tcW w:w="1516" w:type="dxa"/>
            <w:shd w:val="clear" w:color="auto" w:fill="auto"/>
          </w:tcPr>
          <w:p w:rsidR="00A97D4C" w:rsidRPr="00A97D4C" w:rsidRDefault="00A97D4C" w:rsidP="007D5003">
            <w:pPr>
              <w:jc w:val="right"/>
              <w:rPr>
                <w:sz w:val="15"/>
                <w:szCs w:val="15"/>
                <w:lang w:val="id-ID"/>
              </w:rPr>
            </w:pPr>
            <w:r w:rsidRPr="00A97D4C">
              <w:rPr>
                <w:sz w:val="15"/>
                <w:szCs w:val="15"/>
                <w:lang w:val="id-ID"/>
              </w:rPr>
              <w:t>7,349,596</w:t>
            </w:r>
          </w:p>
        </w:tc>
      </w:tr>
    </w:tbl>
    <w:p w:rsidR="00A97D4C" w:rsidRDefault="00A97D4C" w:rsidP="00A97D4C">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research calculation, 2019</w:t>
      </w:r>
    </w:p>
    <w:p w:rsidR="00A97D4C" w:rsidRPr="00A97D4C" w:rsidRDefault="00A97D4C" w:rsidP="00A97D4C">
      <w:pPr>
        <w:pStyle w:val="BodyText"/>
        <w:spacing w:before="1" w:line="283" w:lineRule="auto"/>
        <w:ind w:right="87"/>
        <w:rPr>
          <w:color w:val="231F20"/>
          <w:w w:val="105"/>
          <w:sz w:val="15"/>
          <w:szCs w:val="15"/>
          <w:lang w:val="id-ID"/>
        </w:rPr>
      </w:pPr>
    </w:p>
    <w:p w:rsidR="00A97D4C" w:rsidRPr="004B5D61" w:rsidRDefault="00A97D4C" w:rsidP="00A97D4C">
      <w:pPr>
        <w:pStyle w:val="BodyText"/>
        <w:spacing w:before="1" w:line="283" w:lineRule="auto"/>
        <w:ind w:left="130" w:right="87" w:firstLine="170"/>
        <w:jc w:val="both"/>
        <w:rPr>
          <w:color w:val="FF0000"/>
        </w:rPr>
      </w:pPr>
      <w:r w:rsidRPr="00A97D4C">
        <w:rPr>
          <w:lang w:val="id-ID"/>
        </w:rPr>
        <w:t xml:space="preserve">The mining and quarrying sector is a business field with the highest level of competitive advantage </w:t>
      </w:r>
      <w:r w:rsidR="004B5D61">
        <w:rPr>
          <w:color w:val="FF0000"/>
        </w:rPr>
        <w:t xml:space="preserve">as </w:t>
      </w:r>
      <w:r w:rsidRPr="00A97D4C">
        <w:rPr>
          <w:lang w:val="id-ID"/>
        </w:rPr>
        <w:t xml:space="preserve">compared to other commodities, reaching 43,610,348 </w:t>
      </w:r>
      <w:r w:rsidR="006B0314">
        <w:rPr>
          <w:lang w:val="id-ID"/>
        </w:rPr>
        <w:t>Million IDR</w:t>
      </w:r>
      <w:r w:rsidR="004B5D61">
        <w:rPr>
          <w:color w:val="FF0000"/>
        </w:rPr>
        <w:t>,</w:t>
      </w:r>
      <w:r w:rsidRPr="00A97D4C">
        <w:rPr>
          <w:lang w:val="id-ID"/>
        </w:rPr>
        <w:t xml:space="preserve"> and the second is services totaling 26,179,482 </w:t>
      </w:r>
      <w:r w:rsidR="006B0314">
        <w:rPr>
          <w:lang w:val="id-ID"/>
        </w:rPr>
        <w:t>Million IDR</w:t>
      </w:r>
      <w:r w:rsidRPr="00A97D4C">
        <w:rPr>
          <w:lang w:val="id-ID"/>
        </w:rPr>
        <w:t xml:space="preserve">. </w:t>
      </w:r>
      <w:r w:rsidRPr="004B5D61">
        <w:rPr>
          <w:i/>
          <w:highlight w:val="yellow"/>
          <w:lang w:val="id-ID"/>
        </w:rPr>
        <w:t>Table 4</w:t>
      </w:r>
      <w:r w:rsidRPr="004B5D61">
        <w:rPr>
          <w:highlight w:val="yellow"/>
          <w:lang w:val="id-ID"/>
        </w:rPr>
        <w:t xml:space="preserve"> has shown that there are 2 out of 9 sectors such as: agriculture and building and construction are the economic sectors of Malinau Regency which are not competitive (negative C</w:t>
      </w:r>
      <w:r w:rsidRPr="004B5D61">
        <w:rPr>
          <w:highlight w:val="yellow"/>
          <w:vertAlign w:val="subscript"/>
          <w:lang w:val="id-ID"/>
        </w:rPr>
        <w:t>ij</w:t>
      </w:r>
      <w:r w:rsidRPr="004B5D61">
        <w:rPr>
          <w:highlight w:val="yellow"/>
          <w:lang w:val="id-ID"/>
        </w:rPr>
        <w:t>) compared to the same sector at the economy level of North Kalimantan Province.</w:t>
      </w:r>
      <w:r w:rsidR="004B5D61">
        <w:rPr>
          <w:color w:val="FF0000"/>
        </w:rPr>
        <w:t>-- rephrase</w:t>
      </w:r>
    </w:p>
    <w:p w:rsidR="00A97D4C" w:rsidRDefault="00A97D4C" w:rsidP="009A00FF">
      <w:pPr>
        <w:pStyle w:val="BodyText"/>
        <w:spacing w:before="1" w:line="283" w:lineRule="auto"/>
        <w:ind w:left="130" w:right="87" w:firstLine="170"/>
        <w:jc w:val="both"/>
        <w:rPr>
          <w:lang w:val="id-ID"/>
        </w:rPr>
      </w:pPr>
      <w:r w:rsidRPr="00A97D4C">
        <w:rPr>
          <w:lang w:val="id-ID"/>
        </w:rPr>
        <w:t>This means that all sectors (with the exception of the two sectors above)</w:t>
      </w:r>
      <w:r w:rsidRPr="004B5D61">
        <w:rPr>
          <w:strike/>
          <w:color w:val="FF0000"/>
          <w:lang w:val="id-ID"/>
        </w:rPr>
        <w:t xml:space="preserve">, </w:t>
      </w:r>
      <w:r w:rsidRPr="00A97D4C">
        <w:rPr>
          <w:lang w:val="id-ID"/>
        </w:rPr>
        <w:t>already have industries that are regionally developing in North Kalimantan Province</w:t>
      </w:r>
      <w:r w:rsidR="00A05D38">
        <w:rPr>
          <w:color w:val="FF0000"/>
        </w:rPr>
        <w:t>,</w:t>
      </w:r>
      <w:r w:rsidRPr="00A97D4C">
        <w:rPr>
          <w:lang w:val="id-ID"/>
        </w:rPr>
        <w:t xml:space="preserve"> and the industrial structure is suitable for being in Malinau </w:t>
      </w:r>
      <w:r>
        <w:rPr>
          <w:lang w:val="id-ID"/>
        </w:rPr>
        <w:t>Regency</w:t>
      </w:r>
      <w:r w:rsidRPr="00A97D4C">
        <w:rPr>
          <w:lang w:val="id-ID"/>
        </w:rPr>
        <w:t xml:space="preserve">. In 2018, the contribution of the effect of competitive advantage has increased </w:t>
      </w:r>
      <w:r w:rsidR="00A05D38">
        <w:rPr>
          <w:color w:val="FF0000"/>
        </w:rPr>
        <w:t xml:space="preserve">as </w:t>
      </w:r>
      <w:r w:rsidRPr="00A97D4C">
        <w:rPr>
          <w:lang w:val="id-ID"/>
        </w:rPr>
        <w:t xml:space="preserve">compared to the beginning of the study in 2009, where there are already several sectors in Malinau </w:t>
      </w:r>
      <w:r>
        <w:rPr>
          <w:lang w:val="id-ID"/>
        </w:rPr>
        <w:t>Regency</w:t>
      </w:r>
      <w:r w:rsidRPr="00A97D4C">
        <w:rPr>
          <w:lang w:val="id-ID"/>
        </w:rPr>
        <w:t xml:space="preserve"> that have competitiveness.</w:t>
      </w:r>
    </w:p>
    <w:p w:rsidR="009A00FF" w:rsidRDefault="009A00FF" w:rsidP="009A00FF">
      <w:pPr>
        <w:pStyle w:val="BodyText"/>
        <w:spacing w:before="1" w:line="283" w:lineRule="auto"/>
        <w:ind w:left="130" w:right="87" w:firstLine="170"/>
        <w:jc w:val="both"/>
        <w:rPr>
          <w:lang w:val="id-ID"/>
        </w:rPr>
      </w:pPr>
      <w:r w:rsidRPr="009A00FF">
        <w:rPr>
          <w:lang w:val="id-ID"/>
        </w:rPr>
        <w:t xml:space="preserve">Generally, empirical findings also apply to the amount of GRDP based on current prices per economic sector in Malinau Regency during </w:t>
      </w:r>
      <w:r w:rsidRPr="00A05D38">
        <w:rPr>
          <w:highlight w:val="yellow"/>
          <w:lang w:val="id-ID"/>
        </w:rPr>
        <w:t>2019-2018</w:t>
      </w:r>
      <w:r w:rsidRPr="009A00FF">
        <w:rPr>
          <w:lang w:val="id-ID"/>
        </w:rPr>
        <w:t xml:space="preserve"> with an average amount of 10,438,111 </w:t>
      </w:r>
      <w:r w:rsidR="006B0314">
        <w:rPr>
          <w:lang w:val="id-ID"/>
        </w:rPr>
        <w:t>Million IDR</w:t>
      </w:r>
      <w:r w:rsidR="003A7E5E">
        <w:rPr>
          <w:lang w:val="id-ID"/>
        </w:rPr>
        <w:t xml:space="preserve"> per</w:t>
      </w:r>
      <w:r w:rsidRPr="009A00FF">
        <w:rPr>
          <w:lang w:val="id-ID"/>
        </w:rPr>
        <w:t xml:space="preserve"> year influenced by the cumulative GRDP growth of N</w:t>
      </w:r>
      <w:r>
        <w:rPr>
          <w:lang w:val="id-ID"/>
        </w:rPr>
        <w:t>orth Kalimantan Province by 3.</w:t>
      </w:r>
      <w:r w:rsidRPr="009A00FF">
        <w:rPr>
          <w:lang w:val="id-ID"/>
        </w:rPr>
        <w:t>53% per year. Thus, the value of GRDP growth in sector (i) of Malinau Regency was influenced by the growth of GRDP of North Kalimantan Province (N</w:t>
      </w:r>
      <w:r w:rsidRPr="009A00FF">
        <w:rPr>
          <w:vertAlign w:val="subscript"/>
          <w:lang w:val="id-ID"/>
        </w:rPr>
        <w:t>ij</w:t>
      </w:r>
      <w:r w:rsidRPr="009A00FF">
        <w:rPr>
          <w:lang w:val="id-ID"/>
        </w:rPr>
        <w:t xml:space="preserve">) reaching a total of 590,186 </w:t>
      </w:r>
      <w:r w:rsidR="006B0314">
        <w:rPr>
          <w:lang w:val="id-ID"/>
        </w:rPr>
        <w:t>Million IDR</w:t>
      </w:r>
      <w:r w:rsidR="003A7E5E">
        <w:rPr>
          <w:lang w:val="id-ID"/>
        </w:rPr>
        <w:t xml:space="preserve"> per</w:t>
      </w:r>
      <w:r w:rsidRPr="009A00FF">
        <w:rPr>
          <w:lang w:val="id-ID"/>
        </w:rPr>
        <w:t xml:space="preserve"> year, industry mix (M</w:t>
      </w:r>
      <w:r w:rsidRPr="009A00FF">
        <w:rPr>
          <w:vertAlign w:val="subscript"/>
          <w:lang w:val="id-ID"/>
        </w:rPr>
        <w:t>ij</w:t>
      </w:r>
      <w:r w:rsidRPr="009A00FF">
        <w:rPr>
          <w:lang w:val="id-ID"/>
        </w:rPr>
        <w:t xml:space="preserve">) of 2,498,329 </w:t>
      </w:r>
      <w:r w:rsidR="006B0314">
        <w:rPr>
          <w:lang w:val="id-ID"/>
        </w:rPr>
        <w:t>Million IDR</w:t>
      </w:r>
      <w:r w:rsidR="003A7E5E">
        <w:rPr>
          <w:lang w:val="id-ID"/>
        </w:rPr>
        <w:t xml:space="preserve"> per</w:t>
      </w:r>
      <w:r w:rsidRPr="009A00FF">
        <w:rPr>
          <w:lang w:val="id-ID"/>
        </w:rPr>
        <w:t xml:space="preserve"> year and competitive advantage (C</w:t>
      </w:r>
      <w:r w:rsidRPr="009A00FF">
        <w:rPr>
          <w:vertAlign w:val="subscript"/>
          <w:lang w:val="id-ID"/>
        </w:rPr>
        <w:t>ij</w:t>
      </w:r>
      <w:r w:rsidRPr="009A00FF">
        <w:rPr>
          <w:lang w:val="id-ID"/>
        </w:rPr>
        <w:t xml:space="preserve">) of 7,349,596 </w:t>
      </w:r>
      <w:r w:rsidR="006B0314">
        <w:rPr>
          <w:lang w:val="id-ID"/>
        </w:rPr>
        <w:t>Million IDR</w:t>
      </w:r>
      <w:r w:rsidR="003A7E5E">
        <w:rPr>
          <w:lang w:val="id-ID"/>
        </w:rPr>
        <w:t xml:space="preserve"> per</w:t>
      </w:r>
      <w:r w:rsidRPr="009A00FF">
        <w:rPr>
          <w:lang w:val="id-ID"/>
        </w:rPr>
        <w:t xml:space="preserve"> year.</w:t>
      </w:r>
    </w:p>
    <w:p w:rsidR="009A00FF" w:rsidRDefault="009A00FF" w:rsidP="009A00FF">
      <w:pPr>
        <w:pStyle w:val="BodyText"/>
        <w:spacing w:before="1" w:line="283" w:lineRule="auto"/>
        <w:ind w:left="130" w:right="87" w:firstLine="170"/>
        <w:jc w:val="both"/>
        <w:rPr>
          <w:lang w:val="id-ID"/>
        </w:rPr>
      </w:pPr>
    </w:p>
    <w:p w:rsidR="00E06274" w:rsidRDefault="00FF552C" w:rsidP="00E06274">
      <w:pPr>
        <w:pStyle w:val="BodyText"/>
        <w:spacing w:before="1" w:line="283" w:lineRule="auto"/>
        <w:ind w:left="130" w:right="87"/>
        <w:jc w:val="center"/>
        <w:rPr>
          <w:color w:val="231F20"/>
          <w:w w:val="105"/>
          <w:sz w:val="15"/>
          <w:szCs w:val="15"/>
          <w:lang w:val="id-ID"/>
        </w:rPr>
      </w:pPr>
      <w:r>
        <w:rPr>
          <w:b/>
          <w:color w:val="231F20"/>
          <w:w w:val="105"/>
          <w:sz w:val="15"/>
          <w:szCs w:val="15"/>
          <w:lang w:val="id-ID"/>
        </w:rPr>
        <w:t>Table 5</w:t>
      </w:r>
      <w:r w:rsidRPr="009637D2">
        <w:rPr>
          <w:color w:val="231F20"/>
          <w:w w:val="105"/>
          <w:sz w:val="15"/>
          <w:szCs w:val="15"/>
          <w:lang w:val="id-ID"/>
        </w:rPr>
        <w:t xml:space="preserve">: </w:t>
      </w:r>
      <w:r w:rsidRPr="00FF552C">
        <w:rPr>
          <w:color w:val="231F20"/>
          <w:w w:val="105"/>
          <w:sz w:val="15"/>
          <w:szCs w:val="15"/>
          <w:lang w:val="id-ID"/>
        </w:rPr>
        <w:t xml:space="preserve">SSA Average Results by Economic Sector </w:t>
      </w:r>
    </w:p>
    <w:p w:rsidR="00FF552C" w:rsidRPr="009637D2" w:rsidRDefault="00F728A9" w:rsidP="00E06274">
      <w:pPr>
        <w:pStyle w:val="BodyText"/>
        <w:spacing w:before="1" w:line="283" w:lineRule="auto"/>
        <w:ind w:left="130" w:right="87"/>
        <w:jc w:val="center"/>
        <w:rPr>
          <w:color w:val="231F20"/>
          <w:w w:val="105"/>
          <w:sz w:val="15"/>
          <w:szCs w:val="15"/>
          <w:lang w:val="id-ID"/>
        </w:rPr>
      </w:pPr>
      <w:r>
        <w:rPr>
          <w:color w:val="231F20"/>
          <w:w w:val="105"/>
          <w:sz w:val="15"/>
          <w:szCs w:val="15"/>
          <w:lang w:val="id-ID"/>
        </w:rPr>
        <w:t xml:space="preserve">in </w:t>
      </w:r>
      <w:r w:rsidR="00E06274" w:rsidRPr="00E06274">
        <w:rPr>
          <w:color w:val="231F20"/>
          <w:w w:val="105"/>
          <w:sz w:val="15"/>
          <w:szCs w:val="15"/>
          <w:lang w:val="id-ID"/>
        </w:rPr>
        <w:t>Malinau Regency</w:t>
      </w:r>
      <w:r w:rsidR="00E06274">
        <w:rPr>
          <w:color w:val="231F20"/>
          <w:w w:val="105"/>
          <w:sz w:val="15"/>
          <w:szCs w:val="15"/>
          <w:lang w:val="id-ID"/>
        </w:rPr>
        <w:t>,</w:t>
      </w:r>
      <w:r w:rsidR="00E06274" w:rsidRPr="00E06274">
        <w:rPr>
          <w:color w:val="231F20"/>
          <w:w w:val="105"/>
          <w:sz w:val="15"/>
          <w:szCs w:val="15"/>
          <w:lang w:val="id-ID"/>
        </w:rPr>
        <w:t xml:space="preserve"> </w:t>
      </w:r>
      <w:r w:rsidR="00FF552C" w:rsidRPr="00FF552C">
        <w:rPr>
          <w:color w:val="231F20"/>
          <w:w w:val="105"/>
          <w:sz w:val="15"/>
          <w:szCs w:val="15"/>
          <w:lang w:val="id-ID"/>
        </w:rPr>
        <w:t>2009-2018 (</w:t>
      </w:r>
      <w:r w:rsidR="006B0314">
        <w:rPr>
          <w:color w:val="231F20"/>
          <w:w w:val="105"/>
          <w:sz w:val="15"/>
          <w:szCs w:val="15"/>
          <w:lang w:val="id-ID"/>
        </w:rPr>
        <w:t>Million</w:t>
      </w:r>
      <w:r w:rsidR="00FF552C">
        <w:rPr>
          <w:color w:val="231F20"/>
          <w:w w:val="105"/>
          <w:sz w:val="15"/>
          <w:szCs w:val="15"/>
          <w:lang w:val="id-ID"/>
        </w:rPr>
        <w:t xml:space="preserve"> IDR</w:t>
      </w:r>
      <w:r w:rsidR="00FF552C" w:rsidRPr="00FF552C">
        <w:rPr>
          <w:color w:val="231F20"/>
          <w:w w:val="105"/>
          <w:sz w:val="15"/>
          <w:szCs w:val="15"/>
          <w:lang w:val="id-ID"/>
        </w:rPr>
        <w:t>)</w:t>
      </w:r>
    </w:p>
    <w:tbl>
      <w:tblPr>
        <w:tblW w:w="45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8"/>
        <w:gridCol w:w="1436"/>
      </w:tblGrid>
      <w:tr w:rsidR="00FF552C" w:rsidRPr="009637D2" w:rsidTr="00FF552C">
        <w:trPr>
          <w:trHeight w:val="145"/>
          <w:jc w:val="center"/>
        </w:trPr>
        <w:tc>
          <w:tcPr>
            <w:tcW w:w="3098" w:type="dxa"/>
            <w:shd w:val="clear" w:color="auto" w:fill="F2F2F2" w:themeFill="background1" w:themeFillShade="F2"/>
            <w:vAlign w:val="center"/>
          </w:tcPr>
          <w:p w:rsidR="00FF552C" w:rsidRPr="009637D2" w:rsidRDefault="00FF552C" w:rsidP="007D5003">
            <w:pPr>
              <w:jc w:val="center"/>
              <w:rPr>
                <w:b/>
                <w:bCs/>
                <w:sz w:val="15"/>
                <w:szCs w:val="15"/>
                <w:lang w:val="id-ID"/>
              </w:rPr>
            </w:pPr>
            <w:r w:rsidRPr="009637D2">
              <w:rPr>
                <w:b/>
                <w:bCs/>
                <w:sz w:val="15"/>
                <w:szCs w:val="15"/>
                <w:lang w:val="id-ID"/>
              </w:rPr>
              <w:t>Business field</w:t>
            </w:r>
          </w:p>
        </w:tc>
        <w:tc>
          <w:tcPr>
            <w:tcW w:w="1436" w:type="dxa"/>
            <w:shd w:val="clear" w:color="auto" w:fill="F2F2F2" w:themeFill="background1" w:themeFillShade="F2"/>
            <w:vAlign w:val="center"/>
          </w:tcPr>
          <w:p w:rsidR="00FF552C" w:rsidRPr="009637D2" w:rsidRDefault="00FF552C" w:rsidP="007D5003">
            <w:pPr>
              <w:jc w:val="center"/>
              <w:rPr>
                <w:b/>
                <w:bCs/>
                <w:sz w:val="15"/>
                <w:szCs w:val="15"/>
                <w:lang w:val="id-ID"/>
              </w:rPr>
            </w:pPr>
            <w:r w:rsidRPr="00FF552C">
              <w:rPr>
                <w:b/>
                <w:bCs/>
                <w:sz w:val="15"/>
                <w:szCs w:val="15"/>
                <w:lang w:val="id-ID"/>
              </w:rPr>
              <w:t>D</w:t>
            </w:r>
            <w:r w:rsidRPr="00FF552C">
              <w:rPr>
                <w:b/>
                <w:bCs/>
                <w:sz w:val="15"/>
                <w:szCs w:val="15"/>
                <w:vertAlign w:val="subscript"/>
                <w:lang w:val="id-ID"/>
              </w:rPr>
              <w:t>ij</w:t>
            </w:r>
            <w:r w:rsidRPr="00FF552C">
              <w:rPr>
                <w:b/>
                <w:bCs/>
                <w:sz w:val="15"/>
                <w:szCs w:val="15"/>
                <w:lang w:val="id-ID"/>
              </w:rPr>
              <w:t xml:space="preserve"> (N</w:t>
            </w:r>
            <w:r w:rsidRPr="00FF552C">
              <w:rPr>
                <w:b/>
                <w:bCs/>
                <w:sz w:val="15"/>
                <w:szCs w:val="15"/>
                <w:vertAlign w:val="subscript"/>
                <w:lang w:val="id-ID"/>
              </w:rPr>
              <w:t>ij</w:t>
            </w:r>
            <w:r w:rsidRPr="00FF552C">
              <w:rPr>
                <w:b/>
                <w:bCs/>
                <w:sz w:val="15"/>
                <w:szCs w:val="15"/>
                <w:lang w:val="id-ID"/>
              </w:rPr>
              <w:t xml:space="preserve"> + M</w:t>
            </w:r>
            <w:r w:rsidRPr="00FF552C">
              <w:rPr>
                <w:b/>
                <w:bCs/>
                <w:sz w:val="15"/>
                <w:szCs w:val="15"/>
                <w:vertAlign w:val="subscript"/>
                <w:lang w:val="id-ID"/>
              </w:rPr>
              <w:t>ij</w:t>
            </w:r>
            <w:r w:rsidRPr="00FF552C">
              <w:rPr>
                <w:b/>
                <w:bCs/>
                <w:sz w:val="15"/>
                <w:szCs w:val="15"/>
                <w:lang w:val="id-ID"/>
              </w:rPr>
              <w:t xml:space="preserve"> + C</w:t>
            </w:r>
            <w:r w:rsidRPr="00FF552C">
              <w:rPr>
                <w:b/>
                <w:bCs/>
                <w:sz w:val="15"/>
                <w:szCs w:val="15"/>
                <w:vertAlign w:val="subscript"/>
                <w:lang w:val="id-ID"/>
              </w:rPr>
              <w:t>ij</w:t>
            </w:r>
            <w:r w:rsidRPr="00FF552C">
              <w:rPr>
                <w:b/>
                <w:bCs/>
                <w:sz w:val="15"/>
                <w:szCs w:val="15"/>
                <w:lang w:val="id-ID"/>
              </w:rPr>
              <w:t>)</w:t>
            </w:r>
          </w:p>
        </w:tc>
      </w:tr>
      <w:tr w:rsidR="00FF552C" w:rsidRPr="009637D2" w:rsidTr="00FF552C">
        <w:trPr>
          <w:trHeight w:val="91"/>
          <w:jc w:val="center"/>
        </w:trPr>
        <w:tc>
          <w:tcPr>
            <w:tcW w:w="3098" w:type="dxa"/>
            <w:shd w:val="clear" w:color="auto" w:fill="auto"/>
          </w:tcPr>
          <w:p w:rsidR="00FF552C" w:rsidRPr="009637D2" w:rsidRDefault="00FF552C" w:rsidP="007D5003">
            <w:pPr>
              <w:rPr>
                <w:sz w:val="15"/>
                <w:szCs w:val="15"/>
                <w:lang w:val="id-ID"/>
              </w:rPr>
            </w:pPr>
            <w:r>
              <w:rPr>
                <w:sz w:val="15"/>
                <w:szCs w:val="15"/>
                <w:lang w:val="id-ID"/>
              </w:rPr>
              <w:t>Agriculture</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2,358,132</w:t>
            </w:r>
          </w:p>
        </w:tc>
      </w:tr>
      <w:tr w:rsidR="00FF552C" w:rsidRPr="009637D2" w:rsidTr="00FF552C">
        <w:trPr>
          <w:trHeight w:val="164"/>
          <w:jc w:val="center"/>
        </w:trPr>
        <w:tc>
          <w:tcPr>
            <w:tcW w:w="3098" w:type="dxa"/>
            <w:shd w:val="clear" w:color="auto" w:fill="auto"/>
          </w:tcPr>
          <w:p w:rsidR="00FF552C" w:rsidRPr="009637D2" w:rsidRDefault="00FF552C" w:rsidP="00792286">
            <w:pPr>
              <w:rPr>
                <w:sz w:val="15"/>
                <w:szCs w:val="15"/>
                <w:lang w:val="id-ID"/>
              </w:rPr>
            </w:pPr>
            <w:r w:rsidRPr="009637D2">
              <w:rPr>
                <w:sz w:val="15"/>
                <w:szCs w:val="15"/>
                <w:lang w:val="id-ID"/>
              </w:rPr>
              <w:t xml:space="preserve">Mining and </w:t>
            </w:r>
            <w:r w:rsidR="00792286">
              <w:rPr>
                <w:sz w:val="15"/>
                <w:szCs w:val="15"/>
                <w:lang w:val="id-ID"/>
              </w:rPr>
              <w:t>Q</w:t>
            </w:r>
            <w:r w:rsidR="00792286" w:rsidRPr="00792286">
              <w:rPr>
                <w:sz w:val="15"/>
                <w:szCs w:val="15"/>
                <w:lang w:val="id-ID"/>
              </w:rPr>
              <w:t>uarrying</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53,190,074</w:t>
            </w:r>
          </w:p>
        </w:tc>
      </w:tr>
      <w:tr w:rsidR="00FF552C" w:rsidRPr="009637D2" w:rsidTr="00FF552C">
        <w:trPr>
          <w:trHeight w:val="149"/>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Processing Industry</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24,707</w:t>
            </w:r>
          </w:p>
        </w:tc>
      </w:tr>
      <w:tr w:rsidR="00FF552C" w:rsidRPr="009637D2" w:rsidTr="00FF552C">
        <w:trPr>
          <w:trHeight w:val="114"/>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 xml:space="preserve">Electricity, Gas and </w:t>
            </w:r>
            <w:r w:rsidR="001F1B43">
              <w:rPr>
                <w:sz w:val="15"/>
                <w:szCs w:val="15"/>
                <w:lang w:val="id-ID"/>
              </w:rPr>
              <w:t>Clean</w:t>
            </w:r>
            <w:r w:rsidRPr="00017ABD">
              <w:rPr>
                <w:sz w:val="15"/>
                <w:szCs w:val="15"/>
                <w:lang w:val="id-ID"/>
              </w:rPr>
              <w:t xml:space="preserve"> Water</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282,780</w:t>
            </w:r>
          </w:p>
        </w:tc>
      </w:tr>
      <w:tr w:rsidR="00FF552C" w:rsidRPr="009637D2" w:rsidTr="00FF552C">
        <w:trPr>
          <w:trHeight w:val="145"/>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Building and Construction</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4,067,504</w:t>
            </w:r>
          </w:p>
        </w:tc>
      </w:tr>
      <w:tr w:rsidR="00FF552C" w:rsidRPr="009637D2" w:rsidTr="00FF552C">
        <w:trPr>
          <w:trHeight w:val="119"/>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Trade, Hotels and Restaurants</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4,165,070</w:t>
            </w:r>
          </w:p>
        </w:tc>
      </w:tr>
      <w:tr w:rsidR="00FF552C" w:rsidRPr="009637D2" w:rsidTr="00FF552C">
        <w:trPr>
          <w:trHeight w:val="109"/>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Transportation and Communication</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950,739</w:t>
            </w:r>
          </w:p>
        </w:tc>
      </w:tr>
      <w:tr w:rsidR="00FF552C" w:rsidRPr="009637D2" w:rsidTr="00FF552C">
        <w:trPr>
          <w:trHeight w:val="50"/>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Finance, Leasing and Corporate Services</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230,380</w:t>
            </w:r>
          </w:p>
        </w:tc>
      </w:tr>
      <w:tr w:rsidR="00FF552C" w:rsidRPr="009637D2" w:rsidTr="00FF552C">
        <w:trPr>
          <w:trHeight w:val="52"/>
          <w:jc w:val="center"/>
        </w:trPr>
        <w:tc>
          <w:tcPr>
            <w:tcW w:w="3098" w:type="dxa"/>
            <w:shd w:val="clear" w:color="auto" w:fill="auto"/>
          </w:tcPr>
          <w:p w:rsidR="00FF552C" w:rsidRPr="009637D2" w:rsidRDefault="00FF552C" w:rsidP="007D5003">
            <w:pPr>
              <w:rPr>
                <w:sz w:val="15"/>
                <w:szCs w:val="15"/>
                <w:lang w:val="id-ID"/>
              </w:rPr>
            </w:pPr>
            <w:r w:rsidRPr="00017ABD">
              <w:rPr>
                <w:sz w:val="15"/>
                <w:szCs w:val="15"/>
                <w:lang w:val="id-ID"/>
              </w:rPr>
              <w:t>Services</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28,673,614</w:t>
            </w:r>
          </w:p>
        </w:tc>
      </w:tr>
      <w:tr w:rsidR="00FF552C" w:rsidRPr="009637D2" w:rsidTr="00FF552C">
        <w:trPr>
          <w:trHeight w:val="52"/>
          <w:jc w:val="center"/>
        </w:trPr>
        <w:tc>
          <w:tcPr>
            <w:tcW w:w="3098" w:type="dxa"/>
            <w:shd w:val="clear" w:color="auto" w:fill="auto"/>
          </w:tcPr>
          <w:p w:rsidR="00FF552C" w:rsidRPr="00177E2E" w:rsidRDefault="00FF552C" w:rsidP="007D5003">
            <w:pPr>
              <w:rPr>
                <w:sz w:val="15"/>
                <w:szCs w:val="15"/>
                <w:lang w:val="id-ID"/>
              </w:rPr>
            </w:pPr>
            <w:r w:rsidRPr="00177E2E">
              <w:rPr>
                <w:sz w:val="15"/>
                <w:szCs w:val="15"/>
                <w:lang w:val="id-ID"/>
              </w:rPr>
              <w:t>Average</w:t>
            </w:r>
          </w:p>
        </w:tc>
        <w:tc>
          <w:tcPr>
            <w:tcW w:w="1436" w:type="dxa"/>
            <w:shd w:val="clear" w:color="auto" w:fill="auto"/>
          </w:tcPr>
          <w:p w:rsidR="00FF552C" w:rsidRPr="00FF552C" w:rsidRDefault="00FF552C" w:rsidP="007D5003">
            <w:pPr>
              <w:jc w:val="right"/>
              <w:rPr>
                <w:sz w:val="15"/>
                <w:szCs w:val="15"/>
                <w:lang w:val="id-ID"/>
              </w:rPr>
            </w:pPr>
            <w:r w:rsidRPr="00FF552C">
              <w:rPr>
                <w:sz w:val="15"/>
                <w:szCs w:val="15"/>
                <w:lang w:val="id-ID"/>
              </w:rPr>
              <w:t>10,438,111</w:t>
            </w:r>
          </w:p>
        </w:tc>
      </w:tr>
    </w:tbl>
    <w:p w:rsidR="00FF552C" w:rsidRDefault="00FF552C" w:rsidP="00FF552C">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research calculation, 2019</w:t>
      </w:r>
    </w:p>
    <w:p w:rsidR="009A00FF" w:rsidRDefault="009A00FF" w:rsidP="009A00FF">
      <w:pPr>
        <w:pStyle w:val="BodyText"/>
        <w:spacing w:before="1" w:line="283" w:lineRule="auto"/>
        <w:ind w:left="130" w:right="87" w:firstLine="170"/>
        <w:jc w:val="both"/>
        <w:rPr>
          <w:lang w:val="id-ID"/>
        </w:rPr>
      </w:pPr>
    </w:p>
    <w:p w:rsidR="00FF552C" w:rsidRDefault="00FF552C" w:rsidP="00FF552C">
      <w:pPr>
        <w:pStyle w:val="BodyText"/>
        <w:spacing w:before="1" w:line="283" w:lineRule="auto"/>
        <w:ind w:left="130" w:right="87" w:firstLine="170"/>
        <w:jc w:val="both"/>
        <w:rPr>
          <w:lang w:val="id-ID"/>
        </w:rPr>
      </w:pPr>
    </w:p>
    <w:p w:rsidR="00FF552C" w:rsidRDefault="00FF552C" w:rsidP="00FF552C">
      <w:pPr>
        <w:pStyle w:val="BodyText"/>
        <w:spacing w:before="1" w:line="283" w:lineRule="auto"/>
        <w:ind w:left="130" w:right="87" w:firstLine="170"/>
        <w:jc w:val="both"/>
        <w:rPr>
          <w:lang w:val="id-ID"/>
        </w:rPr>
      </w:pPr>
    </w:p>
    <w:p w:rsidR="00FF552C" w:rsidRDefault="00FF552C" w:rsidP="00FF552C">
      <w:pPr>
        <w:pStyle w:val="BodyText"/>
        <w:spacing w:before="1" w:line="283" w:lineRule="auto"/>
        <w:ind w:right="87"/>
        <w:jc w:val="both"/>
        <w:rPr>
          <w:lang w:val="id-ID"/>
        </w:rPr>
      </w:pPr>
    </w:p>
    <w:p w:rsidR="00FF552C" w:rsidRDefault="00FF552C" w:rsidP="009A00FF">
      <w:pPr>
        <w:pStyle w:val="BodyText"/>
        <w:spacing w:before="1" w:line="283" w:lineRule="auto"/>
        <w:ind w:left="130" w:right="87" w:firstLine="170"/>
        <w:jc w:val="both"/>
        <w:rPr>
          <w:lang w:val="id-ID"/>
        </w:rPr>
      </w:pPr>
      <w:r w:rsidRPr="00FF552C">
        <w:rPr>
          <w:lang w:val="id-ID"/>
        </w:rPr>
        <w:t xml:space="preserve">By the SSA, it is known that in the past decade the GRDP of Malinau </w:t>
      </w:r>
      <w:r>
        <w:rPr>
          <w:lang w:val="id-ID"/>
        </w:rPr>
        <w:t>Regency</w:t>
      </w:r>
      <w:r w:rsidRPr="00FF552C">
        <w:rPr>
          <w:lang w:val="id-ID"/>
        </w:rPr>
        <w:t xml:space="preserve"> experienced an absolute value increase or an increase in regional economic performance with an average of 2,816,772 </w:t>
      </w:r>
      <w:r w:rsidR="006B0314">
        <w:rPr>
          <w:lang w:val="id-ID"/>
        </w:rPr>
        <w:t>Million IDR</w:t>
      </w:r>
      <w:r>
        <w:rPr>
          <w:lang w:val="id-ID"/>
        </w:rPr>
        <w:t xml:space="preserve"> </w:t>
      </w:r>
      <w:r w:rsidR="003A7E5E">
        <w:rPr>
          <w:lang w:val="id-ID"/>
        </w:rPr>
        <w:t>per</w:t>
      </w:r>
      <w:r w:rsidRPr="00FF552C">
        <w:rPr>
          <w:lang w:val="id-ID"/>
        </w:rPr>
        <w:t xml:space="preserve"> year. This can be seen from the positive PDRB component or diiferential shift (D</w:t>
      </w:r>
      <w:r w:rsidRPr="00FF552C">
        <w:rPr>
          <w:vertAlign w:val="subscript"/>
          <w:lang w:val="id-ID"/>
        </w:rPr>
        <w:t>ij</w:t>
      </w:r>
      <w:r w:rsidRPr="00FF552C">
        <w:rPr>
          <w:lang w:val="id-ID"/>
        </w:rPr>
        <w:t xml:space="preserve">) in all 9 business sectors in Malinau </w:t>
      </w:r>
      <w:r>
        <w:rPr>
          <w:lang w:val="id-ID"/>
        </w:rPr>
        <w:t>Regency</w:t>
      </w:r>
      <w:r w:rsidR="00AE48A1">
        <w:rPr>
          <w:color w:val="FF0000"/>
        </w:rPr>
        <w:t>,</w:t>
      </w:r>
      <w:r w:rsidRPr="00FF552C">
        <w:rPr>
          <w:lang w:val="id-ID"/>
        </w:rPr>
        <w:t xml:space="preserve"> which reached an average of 10,438,111 </w:t>
      </w:r>
      <w:r w:rsidR="006B0314">
        <w:rPr>
          <w:lang w:val="id-ID"/>
        </w:rPr>
        <w:t>Million IDR</w:t>
      </w:r>
      <w:r w:rsidR="003A7E5E">
        <w:rPr>
          <w:lang w:val="id-ID"/>
        </w:rPr>
        <w:t xml:space="preserve"> per</w:t>
      </w:r>
      <w:r w:rsidRPr="00FF552C">
        <w:rPr>
          <w:lang w:val="id-ID"/>
        </w:rPr>
        <w:t xml:space="preserve"> year.</w:t>
      </w:r>
    </w:p>
    <w:p w:rsidR="00FF552C" w:rsidRPr="00AD347E" w:rsidRDefault="00FF552C" w:rsidP="003A7E5E">
      <w:pPr>
        <w:pStyle w:val="BodyText"/>
        <w:tabs>
          <w:tab w:val="left" w:pos="2835"/>
        </w:tabs>
        <w:spacing w:before="1" w:line="283" w:lineRule="auto"/>
        <w:ind w:left="130" w:right="87" w:firstLine="170"/>
        <w:jc w:val="both"/>
        <w:rPr>
          <w:color w:val="000000" w:themeColor="text1"/>
          <w:lang w:val="id-ID"/>
        </w:rPr>
      </w:pPr>
      <w:r w:rsidRPr="00AD347E">
        <w:rPr>
          <w:color w:val="000000" w:themeColor="text1"/>
          <w:lang w:val="id-ID"/>
        </w:rPr>
        <w:t xml:space="preserve">In line with this fact, </w:t>
      </w:r>
      <w:r w:rsidRPr="00D144F3">
        <w:rPr>
          <w:color w:val="000000" w:themeColor="text1"/>
          <w:highlight w:val="yellow"/>
          <w:lang w:val="id-ID"/>
        </w:rPr>
        <w:t xml:space="preserve">it is evident that when elaborated in the data that occurred from </w:t>
      </w:r>
      <w:r w:rsidRPr="00D144F3">
        <w:rPr>
          <w:i/>
          <w:color w:val="000000" w:themeColor="text1"/>
          <w:highlight w:val="yellow"/>
          <w:lang w:val="id-ID"/>
        </w:rPr>
        <w:t>Figure 3</w:t>
      </w:r>
      <w:r w:rsidRPr="00D144F3">
        <w:rPr>
          <w:color w:val="000000" w:themeColor="text1"/>
          <w:highlight w:val="yellow"/>
          <w:lang w:val="id-ID"/>
        </w:rPr>
        <w:t xml:space="preserve"> regarding</w:t>
      </w:r>
      <w:r w:rsidR="003A7E5E" w:rsidRPr="00D144F3">
        <w:rPr>
          <w:color w:val="000000" w:themeColor="text1"/>
          <w:highlight w:val="yellow"/>
          <w:lang w:val="id-ID"/>
        </w:rPr>
        <w:t xml:space="preserve"> the economic structure in </w:t>
      </w:r>
      <w:r w:rsidRPr="00D144F3">
        <w:rPr>
          <w:color w:val="000000" w:themeColor="text1"/>
          <w:highlight w:val="yellow"/>
          <w:lang w:val="id-ID"/>
        </w:rPr>
        <w:t>Malinau during 2009-2018 experienced fluctuations</w:t>
      </w:r>
      <w:r w:rsidR="00D144F3">
        <w:rPr>
          <w:color w:val="FF0000"/>
        </w:rPr>
        <w:t>--rephrase</w:t>
      </w:r>
      <w:r w:rsidRPr="00AD347E">
        <w:rPr>
          <w:color w:val="000000" w:themeColor="text1"/>
          <w:lang w:val="id-ID"/>
        </w:rPr>
        <w:t xml:space="preserve">. </w:t>
      </w:r>
      <w:r w:rsidRPr="00D144F3">
        <w:rPr>
          <w:color w:val="000000" w:themeColor="text1"/>
          <w:highlight w:val="yellow"/>
          <w:lang w:val="id-ID"/>
        </w:rPr>
        <w:t>As for the nine sectors, which dominate according to rank</w:t>
      </w:r>
      <w:r w:rsidR="00D144F3" w:rsidRPr="00D144F3">
        <w:rPr>
          <w:color w:val="FF0000"/>
          <w:highlight w:val="yellow"/>
        </w:rPr>
        <w:t>,</w:t>
      </w:r>
      <w:r w:rsidRPr="00D144F3">
        <w:rPr>
          <w:color w:val="000000" w:themeColor="text1"/>
          <w:highlight w:val="yellow"/>
          <w:lang w:val="id-ID"/>
        </w:rPr>
        <w:t xml:space="preserve"> are as follows</w:t>
      </w:r>
      <w:r w:rsidR="00D144F3">
        <w:rPr>
          <w:color w:val="FF0000"/>
        </w:rPr>
        <w:t>--  rephrase</w:t>
      </w:r>
      <w:r w:rsidRPr="00AD347E">
        <w:rPr>
          <w:color w:val="000000" w:themeColor="text1"/>
          <w:lang w:val="id-ID"/>
        </w:rPr>
        <w:t xml:space="preserve">: </w:t>
      </w:r>
      <w:r w:rsidR="001F1B43" w:rsidRPr="00AD347E">
        <w:rPr>
          <w:color w:val="000000" w:themeColor="text1"/>
          <w:lang w:val="id-ID"/>
        </w:rPr>
        <w:t>Sector-1 (</w:t>
      </w:r>
      <w:r w:rsidRPr="00AD347E">
        <w:rPr>
          <w:color w:val="000000" w:themeColor="text1"/>
          <w:lang w:val="id-ID"/>
        </w:rPr>
        <w:t>agriculture</w:t>
      </w:r>
      <w:r w:rsidR="001F1B43" w:rsidRPr="00AD347E">
        <w:rPr>
          <w:color w:val="000000" w:themeColor="text1"/>
          <w:lang w:val="id-ID"/>
        </w:rPr>
        <w:t>)</w:t>
      </w:r>
      <w:r w:rsidRPr="00AD347E">
        <w:rPr>
          <w:color w:val="000000" w:themeColor="text1"/>
          <w:lang w:val="id-ID"/>
        </w:rPr>
        <w:t xml:space="preserve"> with an average of 194,653 </w:t>
      </w:r>
      <w:r w:rsidR="006B0314">
        <w:rPr>
          <w:color w:val="000000" w:themeColor="text1"/>
          <w:lang w:val="id-ID"/>
        </w:rPr>
        <w:t>Million IDR</w:t>
      </w:r>
      <w:r w:rsidRPr="00AD347E">
        <w:rPr>
          <w:color w:val="000000" w:themeColor="text1"/>
          <w:lang w:val="id-ID"/>
        </w:rPr>
        <w:t xml:space="preserve">; followed </w:t>
      </w:r>
      <w:r w:rsidR="001F1B43" w:rsidRPr="00AD347E">
        <w:rPr>
          <w:color w:val="000000" w:themeColor="text1"/>
          <w:lang w:val="id-ID"/>
        </w:rPr>
        <w:t>by Sector-2 (</w:t>
      </w:r>
      <w:r w:rsidRPr="00AD347E">
        <w:rPr>
          <w:color w:val="000000" w:themeColor="text1"/>
          <w:lang w:val="id-ID"/>
        </w:rPr>
        <w:t>mining and</w:t>
      </w:r>
      <w:r w:rsidR="00792286">
        <w:rPr>
          <w:color w:val="000000" w:themeColor="text1"/>
          <w:lang w:val="id-ID"/>
        </w:rPr>
        <w:t xml:space="preserve"> </w:t>
      </w:r>
      <w:r w:rsidR="00792286" w:rsidRPr="00792286">
        <w:rPr>
          <w:color w:val="000000" w:themeColor="text1"/>
          <w:lang w:val="id-ID"/>
        </w:rPr>
        <w:t>quarrying</w:t>
      </w:r>
      <w:r w:rsidR="001F1B43" w:rsidRPr="00AD347E">
        <w:rPr>
          <w:color w:val="000000" w:themeColor="text1"/>
          <w:lang w:val="id-ID"/>
        </w:rPr>
        <w:t>)</w:t>
      </w:r>
      <w:r w:rsidRPr="00AD347E">
        <w:rPr>
          <w:color w:val="000000" w:themeColor="text1"/>
          <w:lang w:val="id-ID"/>
        </w:rPr>
        <w:t xml:space="preserve"> with an average of 143,681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Sector-5 (</w:t>
      </w:r>
      <w:r w:rsidRPr="00AD347E">
        <w:rPr>
          <w:color w:val="000000" w:themeColor="text1"/>
          <w:lang w:val="id-ID"/>
        </w:rPr>
        <w:t>buildings and construction</w:t>
      </w:r>
      <w:r w:rsidR="001F1B43" w:rsidRPr="00AD347E">
        <w:rPr>
          <w:color w:val="000000" w:themeColor="text1"/>
          <w:lang w:val="id-ID"/>
        </w:rPr>
        <w:t>)</w:t>
      </w:r>
      <w:r w:rsidRPr="00AD347E">
        <w:rPr>
          <w:color w:val="000000" w:themeColor="text1"/>
          <w:lang w:val="id-ID"/>
        </w:rPr>
        <w:t xml:space="preserve"> with an average of 134,409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Sector-6 (</w:t>
      </w:r>
      <w:r w:rsidRPr="00AD347E">
        <w:rPr>
          <w:color w:val="000000" w:themeColor="text1"/>
          <w:lang w:val="id-ID"/>
        </w:rPr>
        <w:t>trade, hotels and restaurants</w:t>
      </w:r>
      <w:r w:rsidR="001F1B43" w:rsidRPr="00AD347E">
        <w:rPr>
          <w:color w:val="000000" w:themeColor="text1"/>
          <w:lang w:val="id-ID"/>
        </w:rPr>
        <w:t>)</w:t>
      </w:r>
      <w:r w:rsidRPr="00AD347E">
        <w:rPr>
          <w:color w:val="000000" w:themeColor="text1"/>
          <w:lang w:val="id-ID"/>
        </w:rPr>
        <w:t xml:space="preserve"> with an average of 112,174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from Sector-9 (</w:t>
      </w:r>
      <w:r w:rsidRPr="00AD347E">
        <w:rPr>
          <w:color w:val="000000" w:themeColor="text1"/>
          <w:lang w:val="id-ID"/>
        </w:rPr>
        <w:t>services</w:t>
      </w:r>
      <w:r w:rsidR="001F1B43" w:rsidRPr="00AD347E">
        <w:rPr>
          <w:color w:val="000000" w:themeColor="text1"/>
          <w:lang w:val="id-ID"/>
        </w:rPr>
        <w:t>)</w:t>
      </w:r>
      <w:r w:rsidRPr="00AD347E">
        <w:rPr>
          <w:color w:val="000000" w:themeColor="text1"/>
          <w:lang w:val="id-ID"/>
        </w:rPr>
        <w:t xml:space="preserve"> with an average of 27,296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Sector-7 (</w:t>
      </w:r>
      <w:r w:rsidRPr="00AD347E">
        <w:rPr>
          <w:color w:val="000000" w:themeColor="text1"/>
          <w:lang w:val="id-ID"/>
        </w:rPr>
        <w:t>transportation and communication</w:t>
      </w:r>
      <w:r w:rsidR="001F1B43" w:rsidRPr="00AD347E">
        <w:rPr>
          <w:color w:val="000000" w:themeColor="text1"/>
          <w:lang w:val="id-ID"/>
        </w:rPr>
        <w:t>)</w:t>
      </w:r>
      <w:r w:rsidRPr="00AD347E">
        <w:rPr>
          <w:color w:val="000000" w:themeColor="text1"/>
          <w:lang w:val="id-ID"/>
        </w:rPr>
        <w:t xml:space="preserve"> with an average of 17,057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Sector-4 (</w:t>
      </w:r>
      <w:r w:rsidRPr="00AD347E">
        <w:rPr>
          <w:color w:val="000000" w:themeColor="text1"/>
          <w:lang w:val="id-ID"/>
        </w:rPr>
        <w:t xml:space="preserve">electricity, gas and </w:t>
      </w:r>
      <w:r w:rsidR="001F1B43" w:rsidRPr="00AD347E">
        <w:rPr>
          <w:color w:val="000000" w:themeColor="text1"/>
          <w:lang w:val="id-ID"/>
        </w:rPr>
        <w:t>clean</w:t>
      </w:r>
      <w:r w:rsidRPr="00AD347E">
        <w:rPr>
          <w:color w:val="000000" w:themeColor="text1"/>
          <w:lang w:val="id-ID"/>
        </w:rPr>
        <w:t xml:space="preserve"> water</w:t>
      </w:r>
      <w:r w:rsidR="001F1B43" w:rsidRPr="00AD347E">
        <w:rPr>
          <w:color w:val="000000" w:themeColor="text1"/>
          <w:lang w:val="id-ID"/>
        </w:rPr>
        <w:t>)</w:t>
      </w:r>
      <w:r w:rsidRPr="00AD347E">
        <w:rPr>
          <w:color w:val="000000" w:themeColor="text1"/>
          <w:lang w:val="id-ID"/>
        </w:rPr>
        <w:t xml:space="preserve"> with an average 2,753 </w:t>
      </w:r>
      <w:r w:rsidR="006B0314">
        <w:rPr>
          <w:color w:val="000000" w:themeColor="text1"/>
          <w:lang w:val="id-ID"/>
        </w:rPr>
        <w:t>Million IDR</w:t>
      </w:r>
      <w:r w:rsidRPr="00AD347E">
        <w:rPr>
          <w:color w:val="000000" w:themeColor="text1"/>
          <w:lang w:val="id-ID"/>
        </w:rPr>
        <w:t xml:space="preserve">; </w:t>
      </w:r>
      <w:r w:rsidR="001F1B43" w:rsidRPr="00AD347E">
        <w:rPr>
          <w:color w:val="000000" w:themeColor="text1"/>
          <w:lang w:val="id-ID"/>
        </w:rPr>
        <w:t>Sector-8 (</w:t>
      </w:r>
      <w:r w:rsidRPr="00AD347E">
        <w:rPr>
          <w:color w:val="000000" w:themeColor="text1"/>
          <w:lang w:val="id-ID"/>
        </w:rPr>
        <w:t>finance, leasing and service companies</w:t>
      </w:r>
      <w:r w:rsidR="001F1B43" w:rsidRPr="00AD347E">
        <w:rPr>
          <w:color w:val="000000" w:themeColor="text1"/>
          <w:lang w:val="id-ID"/>
        </w:rPr>
        <w:t>)</w:t>
      </w:r>
      <w:r w:rsidRPr="00AD347E">
        <w:rPr>
          <w:color w:val="000000" w:themeColor="text1"/>
          <w:lang w:val="id-ID"/>
        </w:rPr>
        <w:t xml:space="preserve"> with an average of 2,573 </w:t>
      </w:r>
      <w:r w:rsidR="006B0314">
        <w:rPr>
          <w:color w:val="000000" w:themeColor="text1"/>
          <w:lang w:val="id-ID"/>
        </w:rPr>
        <w:t>Million IDR</w:t>
      </w:r>
      <w:r w:rsidR="001F1B43" w:rsidRPr="00AD347E">
        <w:rPr>
          <w:color w:val="000000" w:themeColor="text1"/>
          <w:lang w:val="id-ID"/>
        </w:rPr>
        <w:t xml:space="preserve"> and then</w:t>
      </w:r>
      <w:r w:rsidRPr="00AD347E">
        <w:rPr>
          <w:color w:val="000000" w:themeColor="text1"/>
          <w:lang w:val="id-ID"/>
        </w:rPr>
        <w:t xml:space="preserve"> </w:t>
      </w:r>
      <w:r w:rsidR="001F1B43" w:rsidRPr="00AD347E">
        <w:rPr>
          <w:color w:val="000000" w:themeColor="text1"/>
          <w:lang w:val="id-ID"/>
        </w:rPr>
        <w:t>of Sector-3 (</w:t>
      </w:r>
      <w:r w:rsidRPr="00AD347E">
        <w:rPr>
          <w:color w:val="000000" w:themeColor="text1"/>
          <w:lang w:val="id-ID"/>
        </w:rPr>
        <w:t>processing industry</w:t>
      </w:r>
      <w:r w:rsidR="001F1B43" w:rsidRPr="00AD347E">
        <w:rPr>
          <w:color w:val="000000" w:themeColor="text1"/>
          <w:lang w:val="id-ID"/>
        </w:rPr>
        <w:t>)</w:t>
      </w:r>
      <w:r w:rsidRPr="00AD347E">
        <w:rPr>
          <w:color w:val="000000" w:themeColor="text1"/>
          <w:lang w:val="id-ID"/>
        </w:rPr>
        <w:t xml:space="preserve"> with an average of 551 </w:t>
      </w:r>
      <w:r w:rsidR="006B0314">
        <w:rPr>
          <w:color w:val="000000" w:themeColor="text1"/>
          <w:lang w:val="id-ID"/>
        </w:rPr>
        <w:t>Million IDR</w:t>
      </w:r>
      <w:r w:rsidRPr="00AD347E">
        <w:rPr>
          <w:color w:val="000000" w:themeColor="text1"/>
          <w:lang w:val="id-ID"/>
        </w:rPr>
        <w:t>. Although the contribution of the agriculture sector is highest and dominates among others, from year to year this sector has seen a quite drastic decline.</w:t>
      </w:r>
    </w:p>
    <w:p w:rsidR="00FF552C" w:rsidRDefault="00FF552C" w:rsidP="003A7E5E">
      <w:pPr>
        <w:pStyle w:val="BodyText"/>
        <w:tabs>
          <w:tab w:val="left" w:pos="2835"/>
        </w:tabs>
        <w:spacing w:before="1" w:line="283" w:lineRule="auto"/>
        <w:ind w:right="87"/>
        <w:jc w:val="both"/>
        <w:rPr>
          <w:lang w:val="id-ID"/>
        </w:rPr>
      </w:pPr>
    </w:p>
    <w:p w:rsidR="00AB07C5" w:rsidRDefault="00AB07C5" w:rsidP="00AB07C5">
      <w:pPr>
        <w:pStyle w:val="BodyText"/>
        <w:tabs>
          <w:tab w:val="left" w:pos="2835"/>
        </w:tabs>
        <w:spacing w:before="1" w:line="283" w:lineRule="auto"/>
        <w:ind w:left="142" w:right="87"/>
        <w:jc w:val="both"/>
        <w:rPr>
          <w:lang w:val="id-ID"/>
        </w:rPr>
      </w:pPr>
      <w:r>
        <w:rPr>
          <w:noProof/>
          <w:lang w:eastAsia="ko-KR"/>
        </w:rPr>
        <w:drawing>
          <wp:inline distT="0" distB="0" distL="0" distR="0" wp14:anchorId="74F4D495" wp14:editId="6F8C545C">
            <wp:extent cx="3072384" cy="2040940"/>
            <wp:effectExtent l="0" t="0" r="1397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0314" w:rsidRPr="006B0314" w:rsidRDefault="003A7E5E" w:rsidP="006B0314">
      <w:pPr>
        <w:pStyle w:val="BodyText"/>
        <w:tabs>
          <w:tab w:val="left" w:pos="2835"/>
        </w:tabs>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sidR="007202F3">
        <w:rPr>
          <w:b/>
          <w:color w:val="231F20"/>
          <w:w w:val="105"/>
          <w:sz w:val="15"/>
          <w:szCs w:val="15"/>
          <w:lang w:val="id-ID"/>
        </w:rPr>
        <w:t>3</w:t>
      </w:r>
      <w:r w:rsidRPr="00A53CCD">
        <w:rPr>
          <w:color w:val="231F20"/>
          <w:w w:val="105"/>
          <w:sz w:val="15"/>
          <w:szCs w:val="15"/>
          <w:lang w:val="id-ID"/>
        </w:rPr>
        <w:t xml:space="preserve">: </w:t>
      </w:r>
    </w:p>
    <w:p w:rsidR="006B0314" w:rsidRDefault="006B0314" w:rsidP="003A7E5E">
      <w:pPr>
        <w:pStyle w:val="BodyText"/>
        <w:tabs>
          <w:tab w:val="left" w:pos="2835"/>
        </w:tabs>
        <w:spacing w:before="6" w:line="283" w:lineRule="auto"/>
        <w:ind w:right="39"/>
        <w:jc w:val="center"/>
        <w:rPr>
          <w:color w:val="231F20"/>
          <w:w w:val="105"/>
          <w:sz w:val="15"/>
          <w:szCs w:val="15"/>
          <w:lang w:val="id-ID"/>
        </w:rPr>
      </w:pPr>
      <w:r w:rsidRPr="006B0314">
        <w:rPr>
          <w:color w:val="231F20"/>
          <w:w w:val="105"/>
          <w:sz w:val="15"/>
          <w:szCs w:val="15"/>
          <w:lang w:val="id-ID"/>
        </w:rPr>
        <w:t xml:space="preserve">GRDP Based on Constant Prices by Business Field in </w:t>
      </w:r>
    </w:p>
    <w:p w:rsidR="003A7E5E" w:rsidRPr="00A53CCD" w:rsidRDefault="006B0314" w:rsidP="003A7E5E">
      <w:pPr>
        <w:pStyle w:val="BodyText"/>
        <w:tabs>
          <w:tab w:val="left" w:pos="2835"/>
        </w:tabs>
        <w:spacing w:before="6" w:line="283" w:lineRule="auto"/>
        <w:ind w:right="39"/>
        <w:jc w:val="center"/>
        <w:rPr>
          <w:color w:val="231F20"/>
          <w:w w:val="105"/>
          <w:sz w:val="15"/>
          <w:szCs w:val="15"/>
          <w:lang w:val="id-ID"/>
        </w:rPr>
      </w:pPr>
      <w:r w:rsidRPr="006B0314">
        <w:rPr>
          <w:color w:val="231F20"/>
          <w:w w:val="105"/>
          <w:sz w:val="15"/>
          <w:szCs w:val="15"/>
          <w:lang w:val="id-ID"/>
        </w:rPr>
        <w:t xml:space="preserve">Malinau </w:t>
      </w:r>
      <w:r w:rsidR="00E06274">
        <w:rPr>
          <w:color w:val="231F20"/>
          <w:w w:val="105"/>
          <w:sz w:val="15"/>
          <w:szCs w:val="15"/>
          <w:lang w:val="id-ID"/>
        </w:rPr>
        <w:t xml:space="preserve">Regency, </w:t>
      </w:r>
      <w:r w:rsidRPr="006B0314">
        <w:rPr>
          <w:color w:val="231F20"/>
          <w:w w:val="105"/>
          <w:sz w:val="15"/>
          <w:szCs w:val="15"/>
          <w:lang w:val="id-ID"/>
        </w:rPr>
        <w:t>2009-2018 (</w:t>
      </w:r>
      <w:r>
        <w:rPr>
          <w:color w:val="231F20"/>
          <w:w w:val="105"/>
          <w:sz w:val="15"/>
          <w:szCs w:val="15"/>
          <w:lang w:val="id-ID"/>
        </w:rPr>
        <w:t>Million IDR</w:t>
      </w:r>
      <w:r w:rsidRPr="006B0314">
        <w:rPr>
          <w:color w:val="231F20"/>
          <w:w w:val="105"/>
          <w:sz w:val="15"/>
          <w:szCs w:val="15"/>
          <w:lang w:val="id-ID"/>
        </w:rPr>
        <w:t>)</w:t>
      </w:r>
    </w:p>
    <w:p w:rsidR="00FF552C" w:rsidRDefault="00FF552C" w:rsidP="00FF552C">
      <w:pPr>
        <w:pStyle w:val="BodyText"/>
        <w:spacing w:before="1" w:line="283" w:lineRule="auto"/>
        <w:ind w:right="123"/>
        <w:jc w:val="center"/>
        <w:rPr>
          <w:lang w:val="id-ID"/>
        </w:rPr>
      </w:pPr>
    </w:p>
    <w:p w:rsidR="006B0314" w:rsidRDefault="006B0314" w:rsidP="006B0314">
      <w:pPr>
        <w:pStyle w:val="BodyText"/>
        <w:spacing w:before="1" w:line="283" w:lineRule="auto"/>
        <w:ind w:left="130" w:right="87" w:firstLine="170"/>
        <w:jc w:val="both"/>
        <w:rPr>
          <w:lang w:val="id-ID"/>
        </w:rPr>
      </w:pPr>
      <w:r w:rsidRPr="006B0314">
        <w:rPr>
          <w:lang w:val="id-ID"/>
        </w:rPr>
        <w:t xml:space="preserve">Some of the problems that occur are the lack of support for the construction of transportation facilities and infrastructure in the development of the economic sector in Malinau </w:t>
      </w:r>
      <w:r w:rsidR="007D5003">
        <w:rPr>
          <w:lang w:val="id-ID"/>
        </w:rPr>
        <w:t>Regency</w:t>
      </w:r>
      <w:r w:rsidRPr="00051152">
        <w:rPr>
          <w:strike/>
          <w:color w:val="FF0000"/>
          <w:lang w:val="id-ID"/>
        </w:rPr>
        <w:t>, because this is an important matter</w:t>
      </w:r>
      <w:r w:rsidRPr="006B0314">
        <w:rPr>
          <w:lang w:val="id-ID"/>
        </w:rPr>
        <w:t>. The development is very necessary to support the pace of development of an area. The success in building efficient and safe transportation facilities and infrastructure has become the basis for economic development.</w:t>
      </w: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BodyText"/>
        <w:spacing w:before="1" w:line="283" w:lineRule="auto"/>
        <w:ind w:right="123"/>
        <w:jc w:val="both"/>
        <w:rPr>
          <w:lang w:val="id-ID"/>
        </w:rPr>
      </w:pPr>
    </w:p>
    <w:p w:rsidR="006B0314" w:rsidRDefault="006B0314" w:rsidP="006B0314">
      <w:pPr>
        <w:pStyle w:val="Heading2"/>
        <w:numPr>
          <w:ilvl w:val="1"/>
          <w:numId w:val="5"/>
        </w:numPr>
        <w:tabs>
          <w:tab w:val="left" w:pos="647"/>
        </w:tabs>
        <w:spacing w:before="212"/>
      </w:pPr>
      <w:r w:rsidRPr="006B0314">
        <w:rPr>
          <w:color w:val="231F20"/>
          <w:w w:val="105"/>
          <w:lang w:val="id-ID"/>
        </w:rPr>
        <w:lastRenderedPageBreak/>
        <w:t>Calculation of Revealed Comparative Advantage (RCA) Analysis</w:t>
      </w:r>
    </w:p>
    <w:p w:rsidR="006B0314" w:rsidRDefault="006B0314" w:rsidP="006B0314">
      <w:pPr>
        <w:pStyle w:val="BodyText"/>
        <w:spacing w:before="10"/>
        <w:rPr>
          <w:b/>
          <w:sz w:val="18"/>
        </w:rPr>
      </w:pPr>
    </w:p>
    <w:p w:rsidR="006B0314" w:rsidRPr="007B0BF0" w:rsidRDefault="006B0314" w:rsidP="006B0314">
      <w:pPr>
        <w:pStyle w:val="BodyText"/>
        <w:spacing w:before="1" w:line="283" w:lineRule="auto"/>
        <w:ind w:left="130" w:right="87" w:firstLine="170"/>
        <w:jc w:val="both"/>
        <w:rPr>
          <w:lang w:val="id-ID"/>
        </w:rPr>
      </w:pPr>
      <w:r w:rsidRPr="006B0314">
        <w:rPr>
          <w:lang w:val="id-ID"/>
        </w:rPr>
        <w:t>RCA index calculation is based on export volume data and export value of commodities in Malinau Regency and the same export commodity at the North Kalimantan Province level from the agriculture sector</w:t>
      </w:r>
      <w:r w:rsidRPr="006D5558">
        <w:rPr>
          <w:strike/>
          <w:color w:val="FF0000"/>
          <w:lang w:val="id-ID"/>
        </w:rPr>
        <w:t xml:space="preserve">, </w:t>
      </w:r>
      <w:r w:rsidR="006D5558">
        <w:rPr>
          <w:color w:val="FF0000"/>
        </w:rPr>
        <w:t>.  I</w:t>
      </w:r>
      <w:r w:rsidRPr="006B0314">
        <w:rPr>
          <w:lang w:val="id-ID"/>
        </w:rPr>
        <w:t>t is known that the three commodities above (palm oil, rubber, and</w:t>
      </w:r>
      <w:r>
        <w:rPr>
          <w:lang w:val="id-ID"/>
        </w:rPr>
        <w:t xml:space="preserve"> wooden</w:t>
      </w:r>
      <w:r w:rsidRPr="006B0314">
        <w:rPr>
          <w:lang w:val="id-ID"/>
        </w:rPr>
        <w:t xml:space="preserve"> logs) both have </w:t>
      </w:r>
      <w:r w:rsidRPr="00516217">
        <w:rPr>
          <w:highlight w:val="yellow"/>
          <w:lang w:val="id-ID"/>
        </w:rPr>
        <w:t>less value than one (&gt; 1)</w:t>
      </w:r>
      <w:r w:rsidR="00516217">
        <w:rPr>
          <w:color w:val="FF0000"/>
        </w:rPr>
        <w:t>--??</w:t>
      </w:r>
      <w:r w:rsidRPr="006B0314">
        <w:rPr>
          <w:lang w:val="id-ID"/>
        </w:rPr>
        <w:t xml:space="preserve"> which means that all commodities have no comparative advantage. This is due to the contribution of the export value of the commodities of oil palm, rubber</w:t>
      </w:r>
      <w:r w:rsidR="007D5003">
        <w:rPr>
          <w:lang w:val="id-ID"/>
        </w:rPr>
        <w:t>,</w:t>
      </w:r>
      <w:r w:rsidRPr="006B0314">
        <w:rPr>
          <w:lang w:val="id-ID"/>
        </w:rPr>
        <w:t xml:space="preserve"> and </w:t>
      </w:r>
      <w:r w:rsidR="007D5003">
        <w:rPr>
          <w:lang w:val="id-ID"/>
        </w:rPr>
        <w:t xml:space="preserve">wooden </w:t>
      </w:r>
      <w:r w:rsidRPr="006B0314">
        <w:rPr>
          <w:lang w:val="id-ID"/>
        </w:rPr>
        <w:t>logs of Malinau Regency for 10 years, which is very minimal in the area of ​​North Kalimantan Province.</w:t>
      </w:r>
    </w:p>
    <w:p w:rsidR="006B0314" w:rsidRDefault="006B0314" w:rsidP="006B0314">
      <w:pPr>
        <w:pStyle w:val="BodyText"/>
        <w:spacing w:before="1" w:line="283" w:lineRule="auto"/>
        <w:ind w:right="123"/>
        <w:jc w:val="both"/>
        <w:rPr>
          <w:lang w:val="id-ID"/>
        </w:rPr>
      </w:pPr>
    </w:p>
    <w:p w:rsidR="007D5003" w:rsidRPr="009637D2" w:rsidRDefault="007D5003" w:rsidP="007D5003">
      <w:pPr>
        <w:pStyle w:val="BodyText"/>
        <w:spacing w:before="1" w:line="283" w:lineRule="auto"/>
        <w:ind w:left="130" w:right="87"/>
        <w:jc w:val="center"/>
        <w:rPr>
          <w:color w:val="231F20"/>
          <w:w w:val="105"/>
          <w:sz w:val="15"/>
          <w:szCs w:val="15"/>
          <w:lang w:val="id-ID"/>
        </w:rPr>
      </w:pPr>
      <w:r>
        <w:rPr>
          <w:b/>
          <w:color w:val="231F20"/>
          <w:w w:val="105"/>
          <w:sz w:val="15"/>
          <w:szCs w:val="15"/>
          <w:lang w:val="id-ID"/>
        </w:rPr>
        <w:t>Table 6</w:t>
      </w:r>
      <w:r w:rsidRPr="009637D2">
        <w:rPr>
          <w:color w:val="231F20"/>
          <w:w w:val="105"/>
          <w:sz w:val="15"/>
          <w:szCs w:val="15"/>
          <w:lang w:val="id-ID"/>
        </w:rPr>
        <w:t xml:space="preserve">: </w:t>
      </w:r>
      <w:r w:rsidRPr="007D5003">
        <w:rPr>
          <w:color w:val="231F20"/>
          <w:w w:val="105"/>
          <w:sz w:val="15"/>
          <w:szCs w:val="15"/>
          <w:lang w:val="id-ID"/>
        </w:rPr>
        <w:t xml:space="preserve">Level of Competitiveness of Exports of Agricultural Sector Commodity Products in Malinau </w:t>
      </w:r>
      <w:r>
        <w:rPr>
          <w:color w:val="231F20"/>
          <w:w w:val="105"/>
          <w:sz w:val="15"/>
          <w:szCs w:val="15"/>
          <w:lang w:val="id-ID"/>
        </w:rPr>
        <w:t>Regency</w:t>
      </w:r>
      <w:r w:rsidR="00E06274">
        <w:rPr>
          <w:color w:val="231F20"/>
          <w:w w:val="105"/>
          <w:sz w:val="15"/>
          <w:szCs w:val="15"/>
          <w:lang w:val="id-ID"/>
        </w:rPr>
        <w:t xml:space="preserve">, </w:t>
      </w:r>
      <w:r w:rsidRPr="007D5003">
        <w:rPr>
          <w:color w:val="231F20"/>
          <w:w w:val="105"/>
          <w:sz w:val="15"/>
          <w:szCs w:val="15"/>
          <w:lang w:val="id-ID"/>
        </w:rPr>
        <w:t>2009-2018</w:t>
      </w:r>
    </w:p>
    <w:tbl>
      <w:tblPr>
        <w:tblW w:w="467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28"/>
        <w:gridCol w:w="1229"/>
        <w:gridCol w:w="1229"/>
      </w:tblGrid>
      <w:tr w:rsidR="007D5003" w:rsidRPr="007D5003" w:rsidTr="007D5003">
        <w:trPr>
          <w:trHeight w:val="105"/>
        </w:trPr>
        <w:tc>
          <w:tcPr>
            <w:tcW w:w="992" w:type="dxa"/>
            <w:vMerge w:val="restart"/>
            <w:shd w:val="clear" w:color="auto" w:fill="F2F2F2"/>
            <w:vAlign w:val="center"/>
          </w:tcPr>
          <w:p w:rsidR="007D5003" w:rsidRPr="007D5003" w:rsidRDefault="007D5003" w:rsidP="007D5003">
            <w:pPr>
              <w:jc w:val="center"/>
              <w:rPr>
                <w:bCs/>
                <w:sz w:val="15"/>
                <w:szCs w:val="15"/>
                <w:lang w:val="id-ID"/>
              </w:rPr>
            </w:pPr>
            <w:r>
              <w:rPr>
                <w:bCs/>
                <w:sz w:val="15"/>
                <w:szCs w:val="15"/>
                <w:lang w:val="id-ID"/>
              </w:rPr>
              <w:t>Year</w:t>
            </w:r>
          </w:p>
        </w:tc>
        <w:tc>
          <w:tcPr>
            <w:tcW w:w="3686" w:type="dxa"/>
            <w:gridSpan w:val="3"/>
            <w:shd w:val="clear" w:color="auto" w:fill="F2F2F2"/>
            <w:vAlign w:val="center"/>
          </w:tcPr>
          <w:p w:rsidR="007D5003" w:rsidRPr="007D5003" w:rsidRDefault="007D5003" w:rsidP="007D5003">
            <w:pPr>
              <w:jc w:val="center"/>
              <w:rPr>
                <w:rFonts w:eastAsia="Times New Roman"/>
                <w:bCs/>
                <w:color w:val="000000"/>
                <w:sz w:val="15"/>
                <w:szCs w:val="15"/>
                <w:lang w:val="id-ID" w:eastAsia="id-ID"/>
              </w:rPr>
            </w:pPr>
            <w:r w:rsidRPr="007D5003">
              <w:rPr>
                <w:rFonts w:eastAsia="Times New Roman"/>
                <w:bCs/>
                <w:color w:val="000000"/>
                <w:sz w:val="15"/>
                <w:szCs w:val="15"/>
                <w:lang w:eastAsia="id-ID"/>
              </w:rPr>
              <w:t>Commodity</w:t>
            </w:r>
          </w:p>
        </w:tc>
      </w:tr>
      <w:tr w:rsidR="007D5003" w:rsidRPr="007D5003" w:rsidTr="007D5003">
        <w:trPr>
          <w:trHeight w:val="218"/>
        </w:trPr>
        <w:tc>
          <w:tcPr>
            <w:tcW w:w="992" w:type="dxa"/>
            <w:vMerge/>
            <w:shd w:val="clear" w:color="auto" w:fill="F2F2F2"/>
            <w:vAlign w:val="center"/>
          </w:tcPr>
          <w:p w:rsidR="007D5003" w:rsidRPr="007D5003" w:rsidRDefault="007D5003" w:rsidP="007D5003">
            <w:pPr>
              <w:rPr>
                <w:bCs/>
                <w:sz w:val="15"/>
                <w:szCs w:val="15"/>
                <w:lang w:val="id-ID"/>
              </w:rPr>
            </w:pPr>
          </w:p>
        </w:tc>
        <w:tc>
          <w:tcPr>
            <w:tcW w:w="1228" w:type="dxa"/>
            <w:shd w:val="clear" w:color="auto" w:fill="F2F2F2"/>
            <w:vAlign w:val="center"/>
          </w:tcPr>
          <w:p w:rsidR="007D5003" w:rsidRPr="007D5003" w:rsidRDefault="007D5003" w:rsidP="007D5003">
            <w:pPr>
              <w:jc w:val="center"/>
              <w:rPr>
                <w:rFonts w:eastAsia="Times New Roman"/>
                <w:bCs/>
                <w:color w:val="000000"/>
                <w:sz w:val="15"/>
                <w:szCs w:val="15"/>
                <w:lang w:val="id-ID" w:eastAsia="id-ID"/>
              </w:rPr>
            </w:pPr>
            <w:r>
              <w:rPr>
                <w:rFonts w:eastAsia="Times New Roman"/>
                <w:bCs/>
                <w:color w:val="000000"/>
                <w:sz w:val="15"/>
                <w:szCs w:val="15"/>
                <w:lang w:val="id-ID" w:eastAsia="id-ID"/>
              </w:rPr>
              <w:t>Palm oil</w:t>
            </w:r>
          </w:p>
        </w:tc>
        <w:tc>
          <w:tcPr>
            <w:tcW w:w="1229" w:type="dxa"/>
            <w:shd w:val="clear" w:color="auto" w:fill="F2F2F2"/>
            <w:vAlign w:val="center"/>
          </w:tcPr>
          <w:p w:rsidR="007D5003" w:rsidRPr="007D5003" w:rsidRDefault="007D5003" w:rsidP="007D5003">
            <w:pPr>
              <w:jc w:val="center"/>
              <w:rPr>
                <w:rFonts w:eastAsia="Times New Roman"/>
                <w:bCs/>
                <w:color w:val="000000"/>
                <w:sz w:val="15"/>
                <w:szCs w:val="15"/>
                <w:lang w:val="id-ID" w:eastAsia="id-ID"/>
              </w:rPr>
            </w:pPr>
            <w:r>
              <w:rPr>
                <w:rFonts w:eastAsia="Times New Roman"/>
                <w:bCs/>
                <w:color w:val="000000"/>
                <w:sz w:val="15"/>
                <w:szCs w:val="15"/>
                <w:lang w:val="id-ID" w:eastAsia="id-ID"/>
              </w:rPr>
              <w:t>Rubber</w:t>
            </w:r>
          </w:p>
        </w:tc>
        <w:tc>
          <w:tcPr>
            <w:tcW w:w="1229" w:type="dxa"/>
            <w:shd w:val="clear" w:color="auto" w:fill="F2F2F2"/>
            <w:vAlign w:val="center"/>
          </w:tcPr>
          <w:p w:rsidR="007D5003" w:rsidRPr="007D5003" w:rsidRDefault="009D2AC7" w:rsidP="007D5003">
            <w:pPr>
              <w:jc w:val="center"/>
              <w:rPr>
                <w:rFonts w:eastAsia="Times New Roman"/>
                <w:bCs/>
                <w:color w:val="000000"/>
                <w:sz w:val="15"/>
                <w:szCs w:val="15"/>
                <w:lang w:val="id-ID" w:eastAsia="id-ID"/>
              </w:rPr>
            </w:pPr>
            <w:r>
              <w:rPr>
                <w:rFonts w:eastAsia="Times New Roman"/>
                <w:bCs/>
                <w:color w:val="000000"/>
                <w:sz w:val="15"/>
                <w:szCs w:val="15"/>
                <w:lang w:val="id-ID" w:eastAsia="id-ID"/>
              </w:rPr>
              <w:t>Wooden l</w:t>
            </w:r>
            <w:r w:rsidR="007D5003">
              <w:rPr>
                <w:rFonts w:eastAsia="Times New Roman"/>
                <w:bCs/>
                <w:color w:val="000000"/>
                <w:sz w:val="15"/>
                <w:szCs w:val="15"/>
                <w:lang w:val="id-ID" w:eastAsia="id-ID"/>
              </w:rPr>
              <w:t>ogs</w:t>
            </w:r>
          </w:p>
        </w:tc>
      </w:tr>
      <w:tr w:rsidR="007D5003" w:rsidRPr="007D5003" w:rsidTr="007D5003">
        <w:trPr>
          <w:trHeight w:val="128"/>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2009</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w:t>
            </w:r>
            <w:r w:rsidRPr="007D5003">
              <w:rPr>
                <w:rFonts w:eastAsia="Times New Roman"/>
                <w:color w:val="000000"/>
                <w:sz w:val="15"/>
                <w:szCs w:val="15"/>
                <w:lang w:val="id-ID" w:eastAsia="id-ID"/>
              </w:rPr>
              <w:t>.</w:t>
            </w:r>
            <w:r w:rsidRPr="007D5003">
              <w:rPr>
                <w:rFonts w:eastAsia="Times New Roman"/>
                <w:color w:val="000000"/>
                <w:sz w:val="15"/>
                <w:szCs w:val="15"/>
                <w:lang w:eastAsia="id-ID"/>
              </w:rPr>
              <w:t>002</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0.766</w:t>
            </w:r>
          </w:p>
        </w:tc>
      </w:tr>
      <w:tr w:rsidR="007D5003" w:rsidRPr="007D5003" w:rsidTr="007D5003">
        <w:trPr>
          <w:trHeight w:val="163"/>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2010</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w:t>
            </w:r>
            <w:r w:rsidRPr="007D5003">
              <w:rPr>
                <w:rFonts w:eastAsia="Times New Roman"/>
                <w:color w:val="000000"/>
                <w:sz w:val="15"/>
                <w:szCs w:val="15"/>
                <w:lang w:val="id-ID" w:eastAsia="id-ID"/>
              </w:rPr>
              <w:t>.</w:t>
            </w:r>
            <w:r w:rsidRPr="007D5003">
              <w:rPr>
                <w:rFonts w:eastAsia="Times New Roman"/>
                <w:color w:val="000000"/>
                <w:sz w:val="15"/>
                <w:szCs w:val="15"/>
                <w:lang w:eastAsia="id-ID"/>
              </w:rPr>
              <w:t>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0.585</w:t>
            </w:r>
          </w:p>
        </w:tc>
      </w:tr>
      <w:tr w:rsidR="007D5003" w:rsidRPr="007D5003" w:rsidTr="007D5003">
        <w:trPr>
          <w:trHeight w:val="149"/>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2011</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w:t>
            </w:r>
            <w:r w:rsidRPr="007D5003">
              <w:rPr>
                <w:rFonts w:eastAsia="Times New Roman"/>
                <w:color w:val="000000"/>
                <w:sz w:val="15"/>
                <w:szCs w:val="15"/>
                <w:lang w:val="id-ID" w:eastAsia="id-ID"/>
              </w:rPr>
              <w:t>.</w:t>
            </w:r>
            <w:r w:rsidRPr="007D5003">
              <w:rPr>
                <w:rFonts w:eastAsia="Times New Roman"/>
                <w:color w:val="000000"/>
                <w:sz w:val="15"/>
                <w:szCs w:val="15"/>
                <w:lang w:eastAsia="id-ID"/>
              </w:rPr>
              <w:t>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0.796</w:t>
            </w:r>
          </w:p>
        </w:tc>
      </w:tr>
      <w:tr w:rsidR="007D5003" w:rsidRPr="007D5003" w:rsidTr="007D5003">
        <w:trPr>
          <w:trHeight w:val="46"/>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2012</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0.639</w:t>
            </w:r>
          </w:p>
        </w:tc>
      </w:tr>
      <w:tr w:rsidR="007D5003" w:rsidRPr="007D5003" w:rsidTr="007D5003">
        <w:trPr>
          <w:trHeight w:val="113"/>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2013</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0.413</w:t>
            </w:r>
          </w:p>
        </w:tc>
      </w:tr>
      <w:tr w:rsidR="007D5003" w:rsidRPr="007D5003" w:rsidTr="007D5003">
        <w:trPr>
          <w:trHeight w:val="145"/>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2014</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0.346</w:t>
            </w:r>
          </w:p>
        </w:tc>
      </w:tr>
      <w:tr w:rsidR="007D5003" w:rsidRPr="007D5003" w:rsidTr="007D5003">
        <w:trPr>
          <w:trHeight w:val="177"/>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2015</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0.307</w:t>
            </w:r>
          </w:p>
        </w:tc>
      </w:tr>
      <w:tr w:rsidR="007D5003" w:rsidRPr="007D5003" w:rsidTr="007D5003">
        <w:trPr>
          <w:trHeight w:val="177"/>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2016</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0.310</w:t>
            </w:r>
          </w:p>
        </w:tc>
      </w:tr>
      <w:tr w:rsidR="007D5003" w:rsidRPr="007D5003" w:rsidTr="007D5003">
        <w:trPr>
          <w:trHeight w:val="113"/>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2017</w:t>
            </w:r>
          </w:p>
        </w:tc>
        <w:tc>
          <w:tcPr>
            <w:tcW w:w="1228"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0.001</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0.002</w:t>
            </w:r>
          </w:p>
        </w:tc>
        <w:tc>
          <w:tcPr>
            <w:tcW w:w="1229" w:type="dxa"/>
            <w:shd w:val="clear" w:color="auto" w:fill="auto"/>
            <w:vAlign w:val="center"/>
          </w:tcPr>
          <w:p w:rsidR="007D5003" w:rsidRPr="007D5003" w:rsidRDefault="007D5003" w:rsidP="007D5003">
            <w:pPr>
              <w:jc w:val="right"/>
              <w:rPr>
                <w:rFonts w:eastAsia="Times New Roman"/>
                <w:color w:val="000000"/>
                <w:sz w:val="15"/>
                <w:szCs w:val="15"/>
                <w:lang w:eastAsia="id-ID"/>
              </w:rPr>
            </w:pPr>
            <w:r w:rsidRPr="007D5003">
              <w:rPr>
                <w:rFonts w:eastAsia="Times New Roman"/>
                <w:color w:val="000000"/>
                <w:sz w:val="15"/>
                <w:szCs w:val="15"/>
                <w:lang w:eastAsia="id-ID"/>
              </w:rPr>
              <w:t>0.306</w:t>
            </w:r>
          </w:p>
        </w:tc>
      </w:tr>
      <w:tr w:rsidR="007D5003" w:rsidRPr="007D5003" w:rsidTr="007D5003">
        <w:trPr>
          <w:trHeight w:val="131"/>
        </w:trPr>
        <w:tc>
          <w:tcPr>
            <w:tcW w:w="992" w:type="dxa"/>
            <w:shd w:val="clear" w:color="auto" w:fill="auto"/>
          </w:tcPr>
          <w:p w:rsidR="007D5003" w:rsidRPr="007D5003" w:rsidRDefault="007D5003" w:rsidP="007D5003">
            <w:pPr>
              <w:jc w:val="center"/>
              <w:rPr>
                <w:sz w:val="15"/>
                <w:szCs w:val="15"/>
                <w:lang w:val="id-ID"/>
              </w:rPr>
            </w:pPr>
            <w:r w:rsidRPr="007D5003">
              <w:rPr>
                <w:sz w:val="15"/>
                <w:szCs w:val="15"/>
                <w:lang w:val="id-ID"/>
              </w:rPr>
              <w:t>2018</w:t>
            </w:r>
          </w:p>
        </w:tc>
        <w:tc>
          <w:tcPr>
            <w:tcW w:w="1228" w:type="dxa"/>
            <w:shd w:val="clear" w:color="auto" w:fill="auto"/>
            <w:vAlign w:val="center"/>
          </w:tcPr>
          <w:p w:rsidR="007D5003" w:rsidRPr="007D5003" w:rsidRDefault="007D5003" w:rsidP="007D5003">
            <w:pPr>
              <w:jc w:val="right"/>
              <w:rPr>
                <w:rFonts w:eastAsia="Times New Roman"/>
                <w:bCs/>
                <w:color w:val="000000"/>
                <w:sz w:val="15"/>
                <w:szCs w:val="15"/>
                <w:lang w:val="id-ID" w:eastAsia="id-ID"/>
              </w:rPr>
            </w:pPr>
            <w:r w:rsidRPr="007D5003">
              <w:rPr>
                <w:rFonts w:eastAsia="Times New Roman"/>
                <w:bCs/>
                <w:color w:val="000000"/>
                <w:sz w:val="15"/>
                <w:szCs w:val="15"/>
                <w:lang w:eastAsia="id-ID"/>
              </w:rPr>
              <w:t>0.00</w:t>
            </w:r>
            <w:r w:rsidRPr="007D5003">
              <w:rPr>
                <w:rFonts w:eastAsia="Times New Roman"/>
                <w:bCs/>
                <w:color w:val="000000"/>
                <w:sz w:val="15"/>
                <w:szCs w:val="15"/>
                <w:lang w:val="id-ID" w:eastAsia="id-ID"/>
              </w:rPr>
              <w:t>3</w:t>
            </w:r>
          </w:p>
        </w:tc>
        <w:tc>
          <w:tcPr>
            <w:tcW w:w="1229" w:type="dxa"/>
            <w:shd w:val="clear" w:color="auto" w:fill="auto"/>
            <w:vAlign w:val="center"/>
          </w:tcPr>
          <w:p w:rsidR="007D5003" w:rsidRPr="007D5003" w:rsidRDefault="007D5003" w:rsidP="007D5003">
            <w:pPr>
              <w:jc w:val="right"/>
              <w:rPr>
                <w:rFonts w:eastAsia="Times New Roman"/>
                <w:bCs/>
                <w:color w:val="000000"/>
                <w:sz w:val="15"/>
                <w:szCs w:val="15"/>
                <w:lang w:val="id-ID" w:eastAsia="id-ID"/>
              </w:rPr>
            </w:pPr>
            <w:r w:rsidRPr="007D5003">
              <w:rPr>
                <w:rFonts w:eastAsia="Times New Roman"/>
                <w:bCs/>
                <w:color w:val="000000"/>
                <w:sz w:val="15"/>
                <w:szCs w:val="15"/>
                <w:lang w:eastAsia="id-ID"/>
              </w:rPr>
              <w:t>0.00</w:t>
            </w:r>
            <w:r w:rsidRPr="007D5003">
              <w:rPr>
                <w:rFonts w:eastAsia="Times New Roman"/>
                <w:bCs/>
                <w:color w:val="000000"/>
                <w:sz w:val="15"/>
                <w:szCs w:val="15"/>
                <w:lang w:val="id-ID" w:eastAsia="id-ID"/>
              </w:rPr>
              <w:t>2</w:t>
            </w:r>
          </w:p>
        </w:tc>
        <w:tc>
          <w:tcPr>
            <w:tcW w:w="1229" w:type="dxa"/>
            <w:shd w:val="clear" w:color="auto" w:fill="auto"/>
            <w:vAlign w:val="center"/>
          </w:tcPr>
          <w:p w:rsidR="007D5003" w:rsidRPr="007D5003" w:rsidRDefault="007D5003" w:rsidP="007D5003">
            <w:pPr>
              <w:jc w:val="right"/>
              <w:rPr>
                <w:rFonts w:eastAsia="Times New Roman"/>
                <w:bCs/>
                <w:color w:val="000000"/>
                <w:sz w:val="15"/>
                <w:szCs w:val="15"/>
                <w:lang w:val="id-ID" w:eastAsia="id-ID"/>
              </w:rPr>
            </w:pPr>
            <w:r w:rsidRPr="007D5003">
              <w:rPr>
                <w:rFonts w:eastAsia="Times New Roman"/>
                <w:bCs/>
                <w:color w:val="000000"/>
                <w:sz w:val="15"/>
                <w:szCs w:val="15"/>
                <w:lang w:eastAsia="id-ID"/>
              </w:rPr>
              <w:t>0.</w:t>
            </w:r>
            <w:r w:rsidRPr="007D5003">
              <w:rPr>
                <w:rFonts w:eastAsia="Times New Roman"/>
                <w:bCs/>
                <w:color w:val="000000"/>
                <w:sz w:val="15"/>
                <w:szCs w:val="15"/>
                <w:lang w:val="id-ID" w:eastAsia="id-ID"/>
              </w:rPr>
              <w:t>511</w:t>
            </w:r>
          </w:p>
        </w:tc>
      </w:tr>
      <w:tr w:rsidR="007D5003" w:rsidRPr="007D5003" w:rsidTr="007D5003">
        <w:trPr>
          <w:trHeight w:val="131"/>
        </w:trPr>
        <w:tc>
          <w:tcPr>
            <w:tcW w:w="992" w:type="dxa"/>
            <w:shd w:val="clear" w:color="auto" w:fill="auto"/>
          </w:tcPr>
          <w:p w:rsidR="007D5003" w:rsidRPr="007D5003" w:rsidRDefault="007D5003" w:rsidP="007D5003">
            <w:pPr>
              <w:jc w:val="center"/>
              <w:rPr>
                <w:sz w:val="15"/>
                <w:szCs w:val="15"/>
                <w:lang w:val="id-ID"/>
              </w:rPr>
            </w:pPr>
            <w:r>
              <w:rPr>
                <w:sz w:val="15"/>
                <w:szCs w:val="15"/>
                <w:lang w:val="id-ID"/>
              </w:rPr>
              <w:t>Average</w:t>
            </w:r>
          </w:p>
        </w:tc>
        <w:tc>
          <w:tcPr>
            <w:tcW w:w="1228" w:type="dxa"/>
            <w:shd w:val="clear" w:color="auto" w:fill="auto"/>
          </w:tcPr>
          <w:p w:rsidR="007D5003" w:rsidRPr="007D5003" w:rsidRDefault="007D5003" w:rsidP="007D5003">
            <w:pPr>
              <w:jc w:val="right"/>
              <w:rPr>
                <w:sz w:val="15"/>
                <w:szCs w:val="15"/>
                <w:lang w:val="id-ID"/>
              </w:rPr>
            </w:pPr>
            <w:r w:rsidRPr="007D5003">
              <w:rPr>
                <w:sz w:val="15"/>
                <w:szCs w:val="15"/>
                <w:lang w:val="id-ID"/>
              </w:rPr>
              <w:t>0.001</w:t>
            </w:r>
          </w:p>
        </w:tc>
        <w:tc>
          <w:tcPr>
            <w:tcW w:w="1229" w:type="dxa"/>
            <w:shd w:val="clear" w:color="auto" w:fill="auto"/>
          </w:tcPr>
          <w:p w:rsidR="007D5003" w:rsidRPr="007D5003" w:rsidRDefault="007D5003" w:rsidP="007D5003">
            <w:pPr>
              <w:jc w:val="right"/>
              <w:rPr>
                <w:sz w:val="15"/>
                <w:szCs w:val="15"/>
                <w:lang w:val="id-ID"/>
              </w:rPr>
            </w:pPr>
            <w:r w:rsidRPr="007D5003">
              <w:rPr>
                <w:sz w:val="15"/>
                <w:szCs w:val="15"/>
                <w:lang w:val="id-ID"/>
              </w:rPr>
              <w:t>0.001</w:t>
            </w:r>
          </w:p>
        </w:tc>
        <w:tc>
          <w:tcPr>
            <w:tcW w:w="1229" w:type="dxa"/>
            <w:shd w:val="clear" w:color="auto" w:fill="auto"/>
          </w:tcPr>
          <w:p w:rsidR="007D5003" w:rsidRPr="007D5003" w:rsidRDefault="007D5003" w:rsidP="007D5003">
            <w:pPr>
              <w:jc w:val="right"/>
              <w:rPr>
                <w:sz w:val="15"/>
                <w:szCs w:val="15"/>
                <w:lang w:val="id-ID"/>
              </w:rPr>
            </w:pPr>
            <w:r w:rsidRPr="007D5003">
              <w:rPr>
                <w:sz w:val="15"/>
                <w:szCs w:val="15"/>
                <w:lang w:val="id-ID"/>
              </w:rPr>
              <w:t>0.498</w:t>
            </w:r>
          </w:p>
        </w:tc>
      </w:tr>
    </w:tbl>
    <w:p w:rsidR="007D5003" w:rsidRDefault="007D5003" w:rsidP="007D5003">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results of research calculation, 2019</w:t>
      </w:r>
    </w:p>
    <w:p w:rsidR="007D5003" w:rsidRDefault="007D5003" w:rsidP="007D5003">
      <w:pPr>
        <w:pStyle w:val="BodyText"/>
        <w:spacing w:before="1" w:line="283" w:lineRule="auto"/>
        <w:ind w:right="87"/>
        <w:rPr>
          <w:color w:val="231F20"/>
          <w:w w:val="105"/>
          <w:sz w:val="15"/>
          <w:szCs w:val="15"/>
          <w:lang w:val="id-ID"/>
        </w:rPr>
      </w:pPr>
    </w:p>
    <w:p w:rsidR="007D5003" w:rsidRDefault="007D5003" w:rsidP="00E72E76">
      <w:pPr>
        <w:pStyle w:val="BodyText"/>
        <w:spacing w:before="1" w:line="283" w:lineRule="auto"/>
        <w:ind w:left="130" w:right="87" w:firstLine="170"/>
        <w:jc w:val="both"/>
        <w:rPr>
          <w:lang w:val="id-ID"/>
        </w:rPr>
      </w:pPr>
      <w:r w:rsidRPr="00516217">
        <w:rPr>
          <w:highlight w:val="yellow"/>
          <w:lang w:val="id-ID"/>
        </w:rPr>
        <w:t xml:space="preserve">Even though, when compared </w:t>
      </w:r>
      <w:r w:rsidR="009D2AC7" w:rsidRPr="00516217">
        <w:rPr>
          <w:highlight w:val="yellow"/>
          <w:lang w:val="id-ID"/>
        </w:rPr>
        <w:t>between the three commodities.</w:t>
      </w:r>
      <w:r w:rsidR="00516217">
        <w:rPr>
          <w:color w:val="FF0000"/>
        </w:rPr>
        <w:t>--rephrase</w:t>
      </w:r>
      <w:r w:rsidR="009D2AC7">
        <w:rPr>
          <w:lang w:val="id-ID"/>
        </w:rPr>
        <w:t xml:space="preserve"> T</w:t>
      </w:r>
      <w:r w:rsidRPr="007D5003">
        <w:rPr>
          <w:lang w:val="id-ID"/>
        </w:rPr>
        <w:t xml:space="preserve">he RCA value of </w:t>
      </w:r>
      <w:r>
        <w:rPr>
          <w:lang w:val="id-ID"/>
        </w:rPr>
        <w:t xml:space="preserve">wooden </w:t>
      </w:r>
      <w:r w:rsidRPr="007D5003">
        <w:rPr>
          <w:lang w:val="id-ID"/>
        </w:rPr>
        <w:t>logs is higher until the mean reaches 0.496</w:t>
      </w:r>
      <w:r w:rsidR="00516217">
        <w:rPr>
          <w:color w:val="FF0000"/>
        </w:rPr>
        <w:t>,</w:t>
      </w:r>
      <w:r w:rsidRPr="007D5003">
        <w:rPr>
          <w:lang w:val="id-ID"/>
        </w:rPr>
        <w:t xml:space="preserve"> although the amount of exports increases every year. On the other hand, both oil palm and rubber commodities </w:t>
      </w:r>
      <w:r w:rsidRPr="00516217">
        <w:rPr>
          <w:strike/>
          <w:color w:val="FF0000"/>
          <w:lang w:val="id-ID"/>
        </w:rPr>
        <w:t>both</w:t>
      </w:r>
      <w:r w:rsidRPr="007D5003">
        <w:rPr>
          <w:lang w:val="id-ID"/>
        </w:rPr>
        <w:t xml:space="preserve"> hav</w:t>
      </w:r>
      <w:r w:rsidR="00E72E76">
        <w:rPr>
          <w:lang w:val="id-ID"/>
        </w:rPr>
        <w:t xml:space="preserve">e a similar RCA index of 0.001, </w:t>
      </w:r>
      <w:r w:rsidRPr="007D5003">
        <w:rPr>
          <w:lang w:val="id-ID"/>
        </w:rPr>
        <w:t xml:space="preserve">where both the volume and value of exports also increased significantly but were not comparable to the level of North Kalimantan Province (see </w:t>
      </w:r>
      <w:r w:rsidRPr="00412699">
        <w:rPr>
          <w:i/>
          <w:lang w:val="id-ID"/>
        </w:rPr>
        <w:t>Table 6</w:t>
      </w:r>
      <w:r w:rsidRPr="007D5003">
        <w:rPr>
          <w:lang w:val="id-ID"/>
        </w:rPr>
        <w:t>).</w:t>
      </w:r>
    </w:p>
    <w:p w:rsidR="00E72E76" w:rsidRPr="00516217" w:rsidRDefault="00E72E76" w:rsidP="00E72E76">
      <w:pPr>
        <w:pStyle w:val="BodyText"/>
        <w:spacing w:before="1" w:line="283" w:lineRule="auto"/>
        <w:ind w:left="130" w:right="87" w:firstLine="170"/>
        <w:jc w:val="both"/>
        <w:rPr>
          <w:color w:val="FF0000"/>
        </w:rPr>
      </w:pPr>
      <w:r w:rsidRPr="00516217">
        <w:rPr>
          <w:strike/>
          <w:color w:val="FF0000"/>
          <w:lang w:val="id-ID"/>
        </w:rPr>
        <w:t>Based on</w:t>
      </w:r>
      <w:r w:rsidRPr="00516217">
        <w:rPr>
          <w:color w:val="FF0000"/>
          <w:lang w:val="id-ID"/>
        </w:rPr>
        <w:t xml:space="preserve"> </w:t>
      </w:r>
      <w:r w:rsidRPr="00E72E76">
        <w:rPr>
          <w:i/>
          <w:lang w:val="id-ID"/>
        </w:rPr>
        <w:t>Table 7</w:t>
      </w:r>
      <w:r w:rsidRPr="00516217">
        <w:rPr>
          <w:strike/>
          <w:color w:val="FF0000"/>
          <w:lang w:val="id-ID"/>
        </w:rPr>
        <w:t xml:space="preserve">, </w:t>
      </w:r>
      <w:r w:rsidRPr="00E72E76">
        <w:rPr>
          <w:lang w:val="id-ID"/>
        </w:rPr>
        <w:t>shows that coal export products and minerals (types A. B and C) are proven to have a comparative advantage that is higher than the comparative advantage of commodity exports at the North Kalimantan Province level</w:t>
      </w:r>
      <w:r w:rsidRPr="00516217">
        <w:rPr>
          <w:strike/>
          <w:color w:val="FF0000"/>
          <w:lang w:val="id-ID"/>
        </w:rPr>
        <w:t>.</w:t>
      </w:r>
      <w:r w:rsidRPr="00E72E76">
        <w:rPr>
          <w:lang w:val="id-ID"/>
        </w:rPr>
        <w:t xml:space="preserve"> while natural gas commodities do not. Coal and quarrying commodities (A. B and C) have export product competitiveness</w:t>
      </w:r>
      <w:r w:rsidRPr="00516217">
        <w:rPr>
          <w:strike/>
          <w:color w:val="FF0000"/>
          <w:lang w:val="id-ID"/>
        </w:rPr>
        <w:t xml:space="preserve">. </w:t>
      </w:r>
      <w:r w:rsidR="00516217">
        <w:rPr>
          <w:color w:val="FF0000"/>
        </w:rPr>
        <w:t xml:space="preserve">, </w:t>
      </w:r>
      <w:r w:rsidRPr="00E72E76">
        <w:rPr>
          <w:lang w:val="id-ID"/>
        </w:rPr>
        <w:t>where for 10 years</w:t>
      </w:r>
      <w:r w:rsidRPr="00516217">
        <w:rPr>
          <w:strike/>
          <w:color w:val="FF0000"/>
          <w:lang w:val="id-ID"/>
        </w:rPr>
        <w:t xml:space="preserve">. </w:t>
      </w:r>
      <w:r w:rsidR="00516217">
        <w:rPr>
          <w:color w:val="FF0000"/>
        </w:rPr>
        <w:t xml:space="preserve">, </w:t>
      </w:r>
      <w:r w:rsidRPr="00E72E76">
        <w:rPr>
          <w:lang w:val="id-ID"/>
        </w:rPr>
        <w:t xml:space="preserve">the RCA value of the product is more than 1 (&gt; 1) or positive. </w:t>
      </w:r>
      <w:r w:rsidRPr="00516217">
        <w:rPr>
          <w:highlight w:val="yellow"/>
          <w:lang w:val="id-ID"/>
        </w:rPr>
        <w:t>but although the amount of RCA had decreased.</w:t>
      </w:r>
      <w:r w:rsidR="00516217">
        <w:rPr>
          <w:color w:val="FF0000"/>
        </w:rPr>
        <w:t>--rephrase</w:t>
      </w:r>
    </w:p>
    <w:p w:rsidR="00E72E76" w:rsidRDefault="00E72E76" w:rsidP="00E72E76">
      <w:pPr>
        <w:pStyle w:val="BodyText"/>
        <w:spacing w:before="1" w:line="283" w:lineRule="auto"/>
        <w:ind w:left="130" w:right="87" w:firstLine="170"/>
        <w:jc w:val="both"/>
        <w:rPr>
          <w:lang w:val="id-ID"/>
        </w:rPr>
      </w:pPr>
      <w:r w:rsidRPr="00516217">
        <w:rPr>
          <w:highlight w:val="yellow"/>
          <w:lang w:val="id-ID"/>
        </w:rPr>
        <w:t>When compared to the export results of excavated commodities are higher than coal, where the average of t</w:t>
      </w:r>
      <w:r w:rsidR="001C0E0C" w:rsidRPr="00516217">
        <w:rPr>
          <w:highlight w:val="yellow"/>
          <w:lang w:val="id-ID"/>
        </w:rPr>
        <w:t>hese commodities even reached 2.</w:t>
      </w:r>
      <w:r w:rsidRPr="00516217">
        <w:rPr>
          <w:highlight w:val="yellow"/>
          <w:lang w:val="id-ID"/>
        </w:rPr>
        <w:t>369 and followed by</w:t>
      </w:r>
      <w:r w:rsidR="001C0E0C" w:rsidRPr="00516217">
        <w:rPr>
          <w:highlight w:val="yellow"/>
          <w:lang w:val="id-ID"/>
        </w:rPr>
        <w:t xml:space="preserve"> new coal which only stood at 1.</w:t>
      </w:r>
      <w:r w:rsidRPr="00516217">
        <w:rPr>
          <w:highlight w:val="yellow"/>
          <w:lang w:val="id-ID"/>
        </w:rPr>
        <w:t>478. Share natural gas commodities.</w:t>
      </w:r>
      <w:r w:rsidR="00516217">
        <w:rPr>
          <w:color w:val="FF0000"/>
        </w:rPr>
        <w:t>-- rephrase</w:t>
      </w:r>
      <w:r w:rsidRPr="00E72E76">
        <w:rPr>
          <w:lang w:val="id-ID"/>
        </w:rPr>
        <w:t xml:space="preserve"> RCA values ​​below or less than 1 (0.391). where this shows the competitiveness of Malinau Regency natural gas export products using the RCA method from 2009-2018 is very weak to the level of the Province of North Kalimantan.</w:t>
      </w:r>
    </w:p>
    <w:p w:rsidR="00E72E76" w:rsidRDefault="00E72E76" w:rsidP="00E72E76">
      <w:pPr>
        <w:pStyle w:val="BodyText"/>
        <w:spacing w:before="1" w:line="283" w:lineRule="auto"/>
        <w:ind w:right="87"/>
        <w:jc w:val="both"/>
        <w:rPr>
          <w:lang w:val="id-ID"/>
        </w:rPr>
      </w:pPr>
    </w:p>
    <w:p w:rsidR="001C0E0C" w:rsidRDefault="001C0E0C" w:rsidP="00E72E76">
      <w:pPr>
        <w:pStyle w:val="BodyText"/>
        <w:spacing w:before="1" w:line="283" w:lineRule="auto"/>
        <w:ind w:right="87"/>
        <w:jc w:val="both"/>
        <w:rPr>
          <w:lang w:val="id-ID"/>
        </w:rPr>
      </w:pPr>
    </w:p>
    <w:p w:rsidR="001C0E0C" w:rsidRDefault="001C0E0C" w:rsidP="00E72E76">
      <w:pPr>
        <w:pStyle w:val="BodyText"/>
        <w:spacing w:before="1" w:line="283" w:lineRule="auto"/>
        <w:ind w:right="87"/>
        <w:jc w:val="both"/>
        <w:rPr>
          <w:lang w:val="id-ID"/>
        </w:rPr>
      </w:pPr>
    </w:p>
    <w:p w:rsidR="001C0E0C" w:rsidRDefault="00E72E76" w:rsidP="001C0E0C">
      <w:pPr>
        <w:pStyle w:val="BodyText"/>
        <w:spacing w:before="1" w:line="283" w:lineRule="auto"/>
        <w:ind w:left="130" w:right="87"/>
        <w:jc w:val="center"/>
        <w:rPr>
          <w:color w:val="231F20"/>
          <w:w w:val="105"/>
          <w:sz w:val="15"/>
          <w:szCs w:val="15"/>
          <w:lang w:val="id-ID"/>
        </w:rPr>
      </w:pPr>
      <w:r>
        <w:rPr>
          <w:b/>
          <w:color w:val="231F20"/>
          <w:w w:val="105"/>
          <w:sz w:val="15"/>
          <w:szCs w:val="15"/>
          <w:lang w:val="id-ID"/>
        </w:rPr>
        <w:t>Table 7</w:t>
      </w:r>
      <w:r w:rsidRPr="009637D2">
        <w:rPr>
          <w:color w:val="231F20"/>
          <w:w w:val="105"/>
          <w:sz w:val="15"/>
          <w:szCs w:val="15"/>
          <w:lang w:val="id-ID"/>
        </w:rPr>
        <w:t>:</w:t>
      </w:r>
    </w:p>
    <w:p w:rsidR="001C0E0C" w:rsidRDefault="001C0E0C" w:rsidP="00E72E76">
      <w:pPr>
        <w:pStyle w:val="BodyText"/>
        <w:spacing w:before="1" w:line="283" w:lineRule="auto"/>
        <w:ind w:left="130" w:right="87"/>
        <w:jc w:val="center"/>
        <w:rPr>
          <w:color w:val="231F20"/>
          <w:w w:val="105"/>
          <w:sz w:val="15"/>
          <w:szCs w:val="15"/>
          <w:lang w:val="id-ID"/>
        </w:rPr>
      </w:pPr>
      <w:r w:rsidRPr="001C0E0C">
        <w:rPr>
          <w:color w:val="231F20"/>
          <w:w w:val="105"/>
          <w:sz w:val="15"/>
          <w:szCs w:val="15"/>
          <w:lang w:val="id-ID"/>
        </w:rPr>
        <w:t xml:space="preserve">Level of Competitiveness of Exports of Mining and Quarrying </w:t>
      </w:r>
    </w:p>
    <w:p w:rsidR="00E72E76" w:rsidRPr="009637D2" w:rsidRDefault="001C0E0C" w:rsidP="001C0E0C">
      <w:pPr>
        <w:pStyle w:val="BodyText"/>
        <w:spacing w:before="1" w:line="283" w:lineRule="auto"/>
        <w:ind w:left="130" w:right="87"/>
        <w:jc w:val="center"/>
        <w:rPr>
          <w:color w:val="231F20"/>
          <w:w w:val="105"/>
          <w:sz w:val="15"/>
          <w:szCs w:val="15"/>
          <w:lang w:val="id-ID"/>
        </w:rPr>
      </w:pPr>
      <w:r w:rsidRPr="001C0E0C">
        <w:rPr>
          <w:color w:val="231F20"/>
          <w:w w:val="105"/>
          <w:sz w:val="15"/>
          <w:szCs w:val="15"/>
          <w:lang w:val="id-ID"/>
        </w:rPr>
        <w:t>Sector Commod</w:t>
      </w:r>
      <w:r w:rsidR="00E06274">
        <w:rPr>
          <w:color w:val="231F20"/>
          <w:w w:val="105"/>
          <w:sz w:val="15"/>
          <w:szCs w:val="15"/>
          <w:lang w:val="id-ID"/>
        </w:rPr>
        <w:t xml:space="preserve">ity Products in Malinau Regency, </w:t>
      </w:r>
      <w:r w:rsidRPr="001C0E0C">
        <w:rPr>
          <w:color w:val="231F20"/>
          <w:w w:val="105"/>
          <w:sz w:val="15"/>
          <w:szCs w:val="15"/>
          <w:lang w:val="id-ID"/>
        </w:rPr>
        <w:t>2009-2018</w:t>
      </w:r>
    </w:p>
    <w:tbl>
      <w:tblPr>
        <w:tblW w:w="467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1134"/>
        <w:gridCol w:w="992"/>
        <w:gridCol w:w="1701"/>
      </w:tblGrid>
      <w:tr w:rsidR="00E72E76" w:rsidRPr="007D5003" w:rsidTr="00E72E76">
        <w:trPr>
          <w:trHeight w:val="105"/>
        </w:trPr>
        <w:tc>
          <w:tcPr>
            <w:tcW w:w="851" w:type="dxa"/>
            <w:vMerge w:val="restart"/>
            <w:shd w:val="clear" w:color="auto" w:fill="F2F2F2"/>
            <w:vAlign w:val="center"/>
          </w:tcPr>
          <w:p w:rsidR="00E72E76" w:rsidRPr="007D5003" w:rsidRDefault="00E72E76" w:rsidP="00F728A9">
            <w:pPr>
              <w:jc w:val="center"/>
              <w:rPr>
                <w:bCs/>
                <w:sz w:val="15"/>
                <w:szCs w:val="15"/>
                <w:lang w:val="id-ID"/>
              </w:rPr>
            </w:pPr>
            <w:r>
              <w:rPr>
                <w:bCs/>
                <w:sz w:val="15"/>
                <w:szCs w:val="15"/>
                <w:lang w:val="id-ID"/>
              </w:rPr>
              <w:t>Year</w:t>
            </w:r>
          </w:p>
        </w:tc>
        <w:tc>
          <w:tcPr>
            <w:tcW w:w="3827" w:type="dxa"/>
            <w:gridSpan w:val="3"/>
            <w:shd w:val="clear" w:color="auto" w:fill="F2F2F2"/>
            <w:vAlign w:val="center"/>
          </w:tcPr>
          <w:p w:rsidR="00E72E76" w:rsidRPr="007D5003" w:rsidRDefault="00E72E76" w:rsidP="00F728A9">
            <w:pPr>
              <w:jc w:val="center"/>
              <w:rPr>
                <w:rFonts w:eastAsia="Times New Roman"/>
                <w:bCs/>
                <w:color w:val="000000"/>
                <w:sz w:val="15"/>
                <w:szCs w:val="15"/>
                <w:lang w:val="id-ID" w:eastAsia="id-ID"/>
              </w:rPr>
            </w:pPr>
            <w:r w:rsidRPr="007D5003">
              <w:rPr>
                <w:rFonts w:eastAsia="Times New Roman"/>
                <w:bCs/>
                <w:color w:val="000000"/>
                <w:sz w:val="15"/>
                <w:szCs w:val="15"/>
                <w:lang w:eastAsia="id-ID"/>
              </w:rPr>
              <w:t>Commodity</w:t>
            </w:r>
          </w:p>
        </w:tc>
      </w:tr>
      <w:tr w:rsidR="00E72E76" w:rsidRPr="007D5003" w:rsidTr="00E72E76">
        <w:trPr>
          <w:trHeight w:val="218"/>
        </w:trPr>
        <w:tc>
          <w:tcPr>
            <w:tcW w:w="851" w:type="dxa"/>
            <w:vMerge/>
            <w:shd w:val="clear" w:color="auto" w:fill="F2F2F2"/>
            <w:vAlign w:val="center"/>
          </w:tcPr>
          <w:p w:rsidR="00E72E76" w:rsidRPr="007D5003" w:rsidRDefault="00E72E76" w:rsidP="00F728A9">
            <w:pPr>
              <w:rPr>
                <w:bCs/>
                <w:sz w:val="15"/>
                <w:szCs w:val="15"/>
                <w:lang w:val="id-ID"/>
              </w:rPr>
            </w:pPr>
          </w:p>
        </w:tc>
        <w:tc>
          <w:tcPr>
            <w:tcW w:w="1134" w:type="dxa"/>
            <w:shd w:val="clear" w:color="auto" w:fill="F2F2F2"/>
            <w:vAlign w:val="center"/>
          </w:tcPr>
          <w:p w:rsidR="00E72E76" w:rsidRPr="007D5003" w:rsidRDefault="00E72E76" w:rsidP="00F728A9">
            <w:pPr>
              <w:jc w:val="center"/>
              <w:rPr>
                <w:rFonts w:eastAsia="Times New Roman"/>
                <w:bCs/>
                <w:color w:val="000000"/>
                <w:sz w:val="15"/>
                <w:szCs w:val="15"/>
                <w:lang w:val="id-ID" w:eastAsia="id-ID"/>
              </w:rPr>
            </w:pPr>
            <w:r>
              <w:rPr>
                <w:rFonts w:eastAsia="Times New Roman"/>
                <w:bCs/>
                <w:color w:val="000000"/>
                <w:sz w:val="15"/>
                <w:szCs w:val="15"/>
                <w:lang w:val="id-ID" w:eastAsia="id-ID"/>
              </w:rPr>
              <w:t>Natural gas</w:t>
            </w:r>
          </w:p>
        </w:tc>
        <w:tc>
          <w:tcPr>
            <w:tcW w:w="992" w:type="dxa"/>
            <w:shd w:val="clear" w:color="auto" w:fill="F2F2F2"/>
            <w:vAlign w:val="center"/>
          </w:tcPr>
          <w:p w:rsidR="00E72E76" w:rsidRPr="007D5003" w:rsidRDefault="00E72E76" w:rsidP="00F728A9">
            <w:pPr>
              <w:jc w:val="center"/>
              <w:rPr>
                <w:rFonts w:eastAsia="Times New Roman"/>
                <w:bCs/>
                <w:color w:val="000000"/>
                <w:sz w:val="15"/>
                <w:szCs w:val="15"/>
                <w:lang w:val="id-ID" w:eastAsia="id-ID"/>
              </w:rPr>
            </w:pPr>
            <w:r>
              <w:rPr>
                <w:rFonts w:eastAsia="Times New Roman"/>
                <w:bCs/>
                <w:color w:val="000000"/>
                <w:sz w:val="15"/>
                <w:szCs w:val="15"/>
                <w:lang w:val="id-ID" w:eastAsia="id-ID"/>
              </w:rPr>
              <w:t>Coal</w:t>
            </w:r>
          </w:p>
        </w:tc>
        <w:tc>
          <w:tcPr>
            <w:tcW w:w="1701" w:type="dxa"/>
            <w:shd w:val="clear" w:color="auto" w:fill="F2F2F2"/>
            <w:vAlign w:val="center"/>
          </w:tcPr>
          <w:p w:rsidR="00E72E76" w:rsidRPr="007D5003" w:rsidRDefault="00E72E76" w:rsidP="00F728A9">
            <w:pPr>
              <w:jc w:val="center"/>
              <w:rPr>
                <w:rFonts w:eastAsia="Times New Roman"/>
                <w:bCs/>
                <w:color w:val="000000"/>
                <w:sz w:val="15"/>
                <w:szCs w:val="15"/>
                <w:lang w:val="id-ID" w:eastAsia="id-ID"/>
              </w:rPr>
            </w:pPr>
            <w:r w:rsidRPr="00E72E76">
              <w:rPr>
                <w:rFonts w:eastAsia="Times New Roman"/>
                <w:bCs/>
                <w:color w:val="000000"/>
                <w:sz w:val="15"/>
                <w:szCs w:val="15"/>
                <w:lang w:val="id-ID" w:eastAsia="id-ID"/>
              </w:rPr>
              <w:t>Excavation (A, B, C)</w:t>
            </w:r>
          </w:p>
        </w:tc>
      </w:tr>
      <w:tr w:rsidR="00E72E76" w:rsidRPr="007D5003" w:rsidTr="00E72E76">
        <w:trPr>
          <w:trHeight w:val="128"/>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2009</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0.227</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1.499</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2.386</w:t>
            </w:r>
          </w:p>
        </w:tc>
      </w:tr>
      <w:tr w:rsidR="00E72E76" w:rsidRPr="007D5003" w:rsidTr="00E72E76">
        <w:trPr>
          <w:trHeight w:val="163"/>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2010</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0.254</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1.425</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2.222</w:t>
            </w:r>
          </w:p>
        </w:tc>
      </w:tr>
      <w:tr w:rsidR="00E72E76" w:rsidRPr="007D5003" w:rsidTr="00E72E76">
        <w:trPr>
          <w:trHeight w:val="149"/>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2011</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0.351</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1.310</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3.230</w:t>
            </w:r>
          </w:p>
        </w:tc>
      </w:tr>
      <w:tr w:rsidR="00E72E76" w:rsidRPr="007D5003" w:rsidTr="00E72E76">
        <w:trPr>
          <w:trHeight w:val="46"/>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2012</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0.400</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1.405</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2.541</w:t>
            </w:r>
          </w:p>
        </w:tc>
      </w:tr>
      <w:tr w:rsidR="00E72E76" w:rsidRPr="007D5003" w:rsidTr="00E72E76">
        <w:trPr>
          <w:trHeight w:val="113"/>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2013</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0.312</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1.750</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2.279</w:t>
            </w:r>
          </w:p>
        </w:tc>
      </w:tr>
      <w:tr w:rsidR="00E72E76" w:rsidRPr="007D5003" w:rsidTr="00E72E76">
        <w:trPr>
          <w:trHeight w:val="145"/>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2014</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0.476</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1.503</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2.126</w:t>
            </w:r>
          </w:p>
        </w:tc>
      </w:tr>
      <w:tr w:rsidR="00E72E76" w:rsidRPr="007D5003" w:rsidTr="00E72E76">
        <w:trPr>
          <w:trHeight w:val="177"/>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2015</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0.445</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1.471</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1.851</w:t>
            </w:r>
          </w:p>
        </w:tc>
      </w:tr>
      <w:tr w:rsidR="00E72E76" w:rsidRPr="007D5003" w:rsidTr="00E72E76">
        <w:trPr>
          <w:trHeight w:val="177"/>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2016</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0.395</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1.559</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1.984</w:t>
            </w:r>
          </w:p>
        </w:tc>
      </w:tr>
      <w:tr w:rsidR="00E72E76" w:rsidRPr="007D5003" w:rsidTr="00E72E76">
        <w:trPr>
          <w:trHeight w:val="113"/>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2017</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0.654</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1.375</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2.705</w:t>
            </w:r>
          </w:p>
        </w:tc>
      </w:tr>
      <w:tr w:rsidR="00E72E76" w:rsidRPr="007D5003" w:rsidTr="00E72E76">
        <w:trPr>
          <w:trHeight w:val="131"/>
        </w:trPr>
        <w:tc>
          <w:tcPr>
            <w:tcW w:w="851" w:type="dxa"/>
            <w:shd w:val="clear" w:color="auto" w:fill="auto"/>
          </w:tcPr>
          <w:p w:rsidR="00E72E76" w:rsidRPr="007D5003" w:rsidRDefault="00E72E76" w:rsidP="00F728A9">
            <w:pPr>
              <w:jc w:val="center"/>
              <w:rPr>
                <w:sz w:val="15"/>
                <w:szCs w:val="15"/>
                <w:lang w:val="id-ID"/>
              </w:rPr>
            </w:pPr>
            <w:r w:rsidRPr="007D5003">
              <w:rPr>
                <w:sz w:val="15"/>
                <w:szCs w:val="15"/>
                <w:lang w:val="id-ID"/>
              </w:rPr>
              <w:t>2018</w:t>
            </w:r>
          </w:p>
        </w:tc>
        <w:tc>
          <w:tcPr>
            <w:tcW w:w="1134"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0.391</w:t>
            </w:r>
          </w:p>
        </w:tc>
        <w:tc>
          <w:tcPr>
            <w:tcW w:w="992"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1.478</w:t>
            </w:r>
          </w:p>
        </w:tc>
        <w:tc>
          <w:tcPr>
            <w:tcW w:w="1701" w:type="dxa"/>
            <w:shd w:val="clear" w:color="auto" w:fill="auto"/>
            <w:vAlign w:val="center"/>
          </w:tcPr>
          <w:p w:rsidR="00E72E76" w:rsidRPr="00E72E76" w:rsidRDefault="00E72E76" w:rsidP="00F728A9">
            <w:pPr>
              <w:jc w:val="right"/>
              <w:rPr>
                <w:rFonts w:eastAsia="Times New Roman"/>
                <w:color w:val="000000"/>
                <w:sz w:val="15"/>
                <w:szCs w:val="15"/>
                <w:lang w:eastAsia="id-ID"/>
              </w:rPr>
            </w:pPr>
            <w:r w:rsidRPr="00E72E76">
              <w:rPr>
                <w:rFonts w:eastAsia="Times New Roman"/>
                <w:color w:val="000000"/>
                <w:sz w:val="15"/>
                <w:szCs w:val="15"/>
                <w:lang w:eastAsia="id-ID"/>
              </w:rPr>
              <w:t>2.369</w:t>
            </w:r>
          </w:p>
        </w:tc>
      </w:tr>
      <w:tr w:rsidR="00E72E76" w:rsidRPr="007D5003" w:rsidTr="00E72E76">
        <w:trPr>
          <w:trHeight w:val="131"/>
        </w:trPr>
        <w:tc>
          <w:tcPr>
            <w:tcW w:w="851" w:type="dxa"/>
            <w:shd w:val="clear" w:color="auto" w:fill="auto"/>
          </w:tcPr>
          <w:p w:rsidR="00E72E76" w:rsidRPr="007D5003" w:rsidRDefault="00E72E76" w:rsidP="00F728A9">
            <w:pPr>
              <w:jc w:val="center"/>
              <w:rPr>
                <w:sz w:val="15"/>
                <w:szCs w:val="15"/>
                <w:lang w:val="id-ID"/>
              </w:rPr>
            </w:pPr>
            <w:r>
              <w:rPr>
                <w:sz w:val="15"/>
                <w:szCs w:val="15"/>
                <w:lang w:val="id-ID"/>
              </w:rPr>
              <w:t>Average</w:t>
            </w:r>
          </w:p>
        </w:tc>
        <w:tc>
          <w:tcPr>
            <w:tcW w:w="1134" w:type="dxa"/>
            <w:shd w:val="clear" w:color="auto" w:fill="auto"/>
          </w:tcPr>
          <w:p w:rsidR="00E72E76" w:rsidRPr="00E72E76" w:rsidRDefault="00E72E76" w:rsidP="00F728A9">
            <w:pPr>
              <w:jc w:val="right"/>
              <w:rPr>
                <w:sz w:val="15"/>
                <w:szCs w:val="15"/>
                <w:lang w:val="id-ID"/>
              </w:rPr>
            </w:pPr>
            <w:r w:rsidRPr="00E72E76">
              <w:rPr>
                <w:sz w:val="15"/>
                <w:szCs w:val="15"/>
                <w:lang w:val="id-ID"/>
              </w:rPr>
              <w:t>0.391</w:t>
            </w:r>
          </w:p>
        </w:tc>
        <w:tc>
          <w:tcPr>
            <w:tcW w:w="992" w:type="dxa"/>
            <w:shd w:val="clear" w:color="auto" w:fill="auto"/>
          </w:tcPr>
          <w:p w:rsidR="00E72E76" w:rsidRPr="00E72E76" w:rsidRDefault="00E72E76" w:rsidP="00F728A9">
            <w:pPr>
              <w:jc w:val="right"/>
              <w:rPr>
                <w:sz w:val="15"/>
                <w:szCs w:val="15"/>
                <w:lang w:val="id-ID"/>
              </w:rPr>
            </w:pPr>
            <w:r w:rsidRPr="00E72E76">
              <w:rPr>
                <w:sz w:val="15"/>
                <w:szCs w:val="15"/>
                <w:lang w:val="id-ID"/>
              </w:rPr>
              <w:t>1.478</w:t>
            </w:r>
          </w:p>
        </w:tc>
        <w:tc>
          <w:tcPr>
            <w:tcW w:w="1701" w:type="dxa"/>
            <w:shd w:val="clear" w:color="auto" w:fill="auto"/>
          </w:tcPr>
          <w:p w:rsidR="00E72E76" w:rsidRPr="00E72E76" w:rsidRDefault="00E72E76" w:rsidP="00F728A9">
            <w:pPr>
              <w:jc w:val="right"/>
              <w:rPr>
                <w:sz w:val="15"/>
                <w:szCs w:val="15"/>
                <w:lang w:val="id-ID"/>
              </w:rPr>
            </w:pPr>
            <w:r w:rsidRPr="00E72E76">
              <w:rPr>
                <w:sz w:val="15"/>
                <w:szCs w:val="15"/>
                <w:lang w:val="id-ID"/>
              </w:rPr>
              <w:t>2.369</w:t>
            </w:r>
          </w:p>
        </w:tc>
      </w:tr>
    </w:tbl>
    <w:p w:rsidR="00E72E76" w:rsidRDefault="00E72E76" w:rsidP="00E72E76">
      <w:pPr>
        <w:pStyle w:val="BodyText"/>
        <w:spacing w:before="1" w:line="283" w:lineRule="auto"/>
        <w:ind w:right="87"/>
        <w:rPr>
          <w:color w:val="231F20"/>
          <w:w w:val="105"/>
          <w:sz w:val="15"/>
          <w:szCs w:val="15"/>
          <w:lang w:val="id-ID"/>
        </w:rPr>
      </w:pPr>
      <w:r>
        <w:rPr>
          <w:color w:val="231F20"/>
          <w:w w:val="105"/>
          <w:lang w:val="id-ID"/>
        </w:rPr>
        <w:t xml:space="preserve">   *</w:t>
      </w:r>
      <w:r w:rsidRPr="00017ABD">
        <w:rPr>
          <w:color w:val="231F20"/>
          <w:w w:val="105"/>
          <w:sz w:val="15"/>
          <w:szCs w:val="15"/>
          <w:lang w:val="id-ID"/>
        </w:rPr>
        <w:t>Note: results of research calculation, 2019</w:t>
      </w:r>
    </w:p>
    <w:p w:rsidR="00E72E76" w:rsidRDefault="00E72E76" w:rsidP="00E72E76">
      <w:pPr>
        <w:pStyle w:val="BodyText"/>
        <w:spacing w:before="1" w:line="283" w:lineRule="auto"/>
        <w:ind w:left="130" w:right="87" w:firstLine="170"/>
        <w:jc w:val="both"/>
        <w:rPr>
          <w:lang w:val="id-ID"/>
        </w:rPr>
      </w:pPr>
    </w:p>
    <w:p w:rsidR="001C0E0C" w:rsidRPr="001C0E0C" w:rsidRDefault="001C0E0C" w:rsidP="001C0E0C">
      <w:pPr>
        <w:pStyle w:val="BodyText"/>
        <w:spacing w:before="1" w:line="283" w:lineRule="auto"/>
        <w:ind w:left="130" w:right="87" w:firstLine="170"/>
        <w:jc w:val="both"/>
        <w:rPr>
          <w:lang w:val="id-ID"/>
        </w:rPr>
      </w:pPr>
      <w:r w:rsidRPr="001C0E0C">
        <w:rPr>
          <w:lang w:val="id-ID"/>
        </w:rPr>
        <w:t>The success in increasing exports also reflects an increase in competitiveness and</w:t>
      </w:r>
      <w:r w:rsidR="00516217">
        <w:rPr>
          <w:color w:val="FF0000"/>
        </w:rPr>
        <w:t>,</w:t>
      </w:r>
      <w:r w:rsidRPr="001C0E0C">
        <w:rPr>
          <w:lang w:val="id-ID"/>
        </w:rPr>
        <w:t xml:space="preserve"> at the same time</w:t>
      </w:r>
      <w:r w:rsidR="00516217">
        <w:rPr>
          <w:color w:val="FF0000"/>
        </w:rPr>
        <w:t>,</w:t>
      </w:r>
      <w:r w:rsidRPr="001C0E0C">
        <w:rPr>
          <w:lang w:val="id-ID"/>
        </w:rPr>
        <w:t xml:space="preserve"> is an indication of the growth of positive dynamics in a country's entrepreneurship. From this, increasing exports is no longer just a choice but a necessity.</w:t>
      </w:r>
    </w:p>
    <w:p w:rsidR="001C0E0C" w:rsidRDefault="001C0E0C" w:rsidP="001C0E0C">
      <w:pPr>
        <w:pStyle w:val="BodyText"/>
        <w:spacing w:before="1" w:line="283" w:lineRule="auto"/>
        <w:ind w:left="130" w:right="87" w:firstLine="170"/>
        <w:jc w:val="both"/>
        <w:rPr>
          <w:lang w:val="id-ID"/>
        </w:rPr>
      </w:pPr>
      <w:r w:rsidRPr="001C0E0C">
        <w:rPr>
          <w:lang w:val="id-ID"/>
        </w:rPr>
        <w:t xml:space="preserve">The expansion of a country's international trade is also seen from its competitiveness, </w:t>
      </w:r>
      <w:r w:rsidR="00516217">
        <w:rPr>
          <w:color w:val="FF0000"/>
        </w:rPr>
        <w:t xml:space="preserve">and </w:t>
      </w:r>
      <w:r w:rsidRPr="001C0E0C">
        <w:rPr>
          <w:lang w:val="id-ID"/>
        </w:rPr>
        <w:t>this competitiveness is a general concept used in the economy, which refers to the commitment to market competition for its success in international competition. Competitiveness has become the key for companies, countries and regions to succeed in their participation in globalization and free trade in the world.</w:t>
      </w:r>
    </w:p>
    <w:p w:rsidR="00545E02" w:rsidRDefault="00545E02" w:rsidP="001C0E0C">
      <w:pPr>
        <w:pStyle w:val="BodyText"/>
        <w:spacing w:before="1" w:line="283" w:lineRule="auto"/>
        <w:ind w:left="130" w:right="87" w:firstLine="170"/>
        <w:jc w:val="both"/>
        <w:rPr>
          <w:lang w:val="id-ID"/>
        </w:rPr>
      </w:pPr>
      <w:r w:rsidRPr="00545E02">
        <w:rPr>
          <w:lang w:val="id-ID"/>
        </w:rPr>
        <w:t>Malinau is one of the regencies in the Province of North Kalimantan (separated from the Province of East Kalimantan) where the economic and livelihood activities of the majority of the population still depend on the agricultural sector and the mining and quarrying sector extensively. This capital-intensive sector is broadly one of the main pillars that gives the biggest contribution in determining the progress and success of Malinau.</w:t>
      </w:r>
    </w:p>
    <w:p w:rsidR="00545E02" w:rsidRDefault="00545E02" w:rsidP="005B788C">
      <w:pPr>
        <w:pStyle w:val="BodyText"/>
        <w:tabs>
          <w:tab w:val="left" w:pos="2835"/>
        </w:tabs>
        <w:spacing w:before="6" w:line="283" w:lineRule="auto"/>
        <w:ind w:right="39"/>
        <w:rPr>
          <w:color w:val="231F20"/>
          <w:w w:val="105"/>
          <w:sz w:val="15"/>
          <w:szCs w:val="15"/>
          <w:lang w:val="id-ID"/>
        </w:rPr>
      </w:pPr>
    </w:p>
    <w:p w:rsidR="005B788C" w:rsidRDefault="00545E02" w:rsidP="005B788C">
      <w:pPr>
        <w:pStyle w:val="BodyText"/>
        <w:tabs>
          <w:tab w:val="left" w:pos="2835"/>
        </w:tabs>
        <w:spacing w:before="6" w:line="283" w:lineRule="auto"/>
        <w:ind w:left="142" w:right="39"/>
        <w:jc w:val="center"/>
        <w:rPr>
          <w:color w:val="231F20"/>
          <w:w w:val="105"/>
          <w:sz w:val="15"/>
          <w:szCs w:val="15"/>
          <w:lang w:val="id-ID"/>
        </w:rPr>
      </w:pPr>
      <w:r>
        <w:rPr>
          <w:noProof/>
          <w:lang w:eastAsia="ko-KR"/>
        </w:rPr>
        <w:drawing>
          <wp:inline distT="0" distB="0" distL="0" distR="0" wp14:anchorId="105EB05F" wp14:editId="1BA0F652">
            <wp:extent cx="3072384" cy="1975104"/>
            <wp:effectExtent l="0" t="0" r="1397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788C" w:rsidRPr="006B0314" w:rsidRDefault="005B788C" w:rsidP="005B788C">
      <w:pPr>
        <w:pStyle w:val="BodyText"/>
        <w:tabs>
          <w:tab w:val="left" w:pos="2835"/>
        </w:tabs>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Pr>
          <w:b/>
          <w:color w:val="231F20"/>
          <w:w w:val="105"/>
          <w:sz w:val="15"/>
          <w:szCs w:val="15"/>
          <w:lang w:val="id-ID"/>
        </w:rPr>
        <w:t>4</w:t>
      </w:r>
      <w:r w:rsidRPr="00A53CCD">
        <w:rPr>
          <w:color w:val="231F20"/>
          <w:w w:val="105"/>
          <w:sz w:val="15"/>
          <w:szCs w:val="15"/>
          <w:lang w:val="id-ID"/>
        </w:rPr>
        <w:t xml:space="preserve">: </w:t>
      </w:r>
    </w:p>
    <w:p w:rsidR="005B788C" w:rsidRDefault="005B788C" w:rsidP="00545E02">
      <w:pPr>
        <w:pStyle w:val="BodyText"/>
        <w:tabs>
          <w:tab w:val="left" w:pos="2835"/>
        </w:tabs>
        <w:spacing w:before="6" w:line="283" w:lineRule="auto"/>
        <w:ind w:left="142" w:right="39"/>
        <w:jc w:val="center"/>
        <w:rPr>
          <w:color w:val="231F20"/>
          <w:w w:val="105"/>
          <w:sz w:val="15"/>
          <w:szCs w:val="15"/>
          <w:lang w:val="id-ID"/>
        </w:rPr>
      </w:pPr>
      <w:r w:rsidRPr="005B788C">
        <w:rPr>
          <w:color w:val="231F20"/>
          <w:w w:val="105"/>
          <w:sz w:val="15"/>
          <w:szCs w:val="15"/>
          <w:lang w:val="id-ID"/>
        </w:rPr>
        <w:t xml:space="preserve">Volume of Commodity Exports of the Agriculture Sector </w:t>
      </w:r>
    </w:p>
    <w:p w:rsidR="005B788C" w:rsidRPr="00545E02" w:rsidRDefault="005B788C" w:rsidP="00545E02">
      <w:pPr>
        <w:pStyle w:val="BodyText"/>
        <w:tabs>
          <w:tab w:val="left" w:pos="2835"/>
        </w:tabs>
        <w:spacing w:before="6" w:line="283" w:lineRule="auto"/>
        <w:ind w:left="142" w:right="39"/>
        <w:jc w:val="center"/>
        <w:rPr>
          <w:color w:val="231F20"/>
          <w:w w:val="105"/>
          <w:sz w:val="15"/>
          <w:szCs w:val="15"/>
          <w:lang w:val="id-ID"/>
        </w:rPr>
        <w:sectPr w:rsidR="005B788C" w:rsidRPr="00545E02">
          <w:type w:val="continuous"/>
          <w:pgSz w:w="12240" w:h="15840"/>
          <w:pgMar w:top="1760" w:right="1000" w:bottom="280" w:left="1140" w:header="720" w:footer="720" w:gutter="0"/>
          <w:cols w:num="2" w:space="720" w:equalWidth="0">
            <w:col w:w="4856" w:space="159"/>
            <w:col w:w="5085"/>
          </w:cols>
        </w:sectPr>
      </w:pPr>
      <w:r w:rsidRPr="005B788C">
        <w:rPr>
          <w:color w:val="231F20"/>
          <w:w w:val="105"/>
          <w:sz w:val="15"/>
          <w:szCs w:val="15"/>
          <w:lang w:val="id-ID"/>
        </w:rPr>
        <w:t>in Ma</w:t>
      </w:r>
      <w:r w:rsidR="00E06274">
        <w:rPr>
          <w:color w:val="231F20"/>
          <w:w w:val="105"/>
          <w:sz w:val="15"/>
          <w:szCs w:val="15"/>
          <w:lang w:val="id-ID"/>
        </w:rPr>
        <w:t>linau Regency,</w:t>
      </w:r>
      <w:r w:rsidR="00F728A9">
        <w:rPr>
          <w:color w:val="231F20"/>
          <w:w w:val="105"/>
          <w:sz w:val="15"/>
          <w:szCs w:val="15"/>
          <w:lang w:val="id-ID"/>
        </w:rPr>
        <w:t xml:space="preserve"> </w:t>
      </w:r>
      <w:r w:rsidR="00DA30CA">
        <w:rPr>
          <w:color w:val="231F20"/>
          <w:w w:val="105"/>
          <w:sz w:val="15"/>
          <w:szCs w:val="15"/>
          <w:lang w:val="id-ID"/>
        </w:rPr>
        <w:t>2009-2018 (Tons)</w:t>
      </w:r>
    </w:p>
    <w:p w:rsidR="00DA30CA" w:rsidRPr="001A51C7" w:rsidRDefault="00DA30CA">
      <w:pPr>
        <w:rPr>
          <w:sz w:val="26"/>
          <w:lang w:val="id-ID"/>
        </w:rPr>
        <w:sectPr w:rsidR="00DA30CA" w:rsidRPr="001A51C7">
          <w:pgSz w:w="12240" w:h="15840"/>
          <w:pgMar w:top="1760" w:right="1000" w:bottom="280" w:left="1140" w:header="1567" w:footer="0" w:gutter="0"/>
          <w:cols w:space="720"/>
        </w:sectPr>
      </w:pPr>
    </w:p>
    <w:p w:rsidR="00DA30CA" w:rsidRPr="00CC2589" w:rsidRDefault="00DA30CA" w:rsidP="00DA30CA">
      <w:pPr>
        <w:pStyle w:val="BodyText"/>
        <w:spacing w:before="1" w:line="283" w:lineRule="auto"/>
        <w:ind w:left="130" w:right="87" w:firstLine="170"/>
        <w:jc w:val="both"/>
        <w:rPr>
          <w:color w:val="FF0000"/>
        </w:rPr>
      </w:pPr>
      <w:r w:rsidRPr="00516217">
        <w:rPr>
          <w:i/>
          <w:highlight w:val="yellow"/>
          <w:lang w:val="id-ID"/>
        </w:rPr>
        <w:t>Figure 4</w:t>
      </w:r>
      <w:r w:rsidRPr="00516217">
        <w:rPr>
          <w:highlight w:val="yellow"/>
          <w:lang w:val="id-ID"/>
        </w:rPr>
        <w:t xml:space="preserve"> shows if the export volume of 3 main commodities from the agricultural sector in Malinau Regency based on their quantity over the past 10 years has experienced a positive increase.</w:t>
      </w:r>
      <w:r w:rsidR="00516217">
        <w:rPr>
          <w:color w:val="FF0000"/>
        </w:rPr>
        <w:t>--rephrase</w:t>
      </w:r>
      <w:r w:rsidRPr="005B788C">
        <w:rPr>
          <w:lang w:val="id-ID"/>
        </w:rPr>
        <w:t xml:space="preserve"> Data shows that oil palm is the commodity with the largest volume </w:t>
      </w:r>
      <w:r w:rsidR="00516217">
        <w:rPr>
          <w:color w:val="FF0000"/>
        </w:rPr>
        <w:t xml:space="preserve">as </w:t>
      </w:r>
      <w:r w:rsidRPr="005B788C">
        <w:rPr>
          <w:lang w:val="id-ID"/>
        </w:rPr>
        <w:t xml:space="preserve">compared to the others, where the highest occurred </w:t>
      </w:r>
      <w:r w:rsidR="00CC2589">
        <w:rPr>
          <w:color w:val="FF0000"/>
        </w:rPr>
        <w:t xml:space="preserve">was </w:t>
      </w:r>
      <w:r w:rsidR="009D2AC7">
        <w:rPr>
          <w:lang w:val="id-ID"/>
        </w:rPr>
        <w:t xml:space="preserve">in 2018 </w:t>
      </w:r>
      <w:r w:rsidR="009D2AC7" w:rsidRPr="00CC2589">
        <w:rPr>
          <w:strike/>
          <w:color w:val="FF0000"/>
          <w:lang w:val="id-ID"/>
        </w:rPr>
        <w:t>which was</w:t>
      </w:r>
      <w:r w:rsidR="009D2AC7" w:rsidRPr="00CC2589">
        <w:rPr>
          <w:color w:val="FF0000"/>
          <w:lang w:val="id-ID"/>
        </w:rPr>
        <w:t xml:space="preserve"> </w:t>
      </w:r>
      <w:r w:rsidR="00CC2589">
        <w:rPr>
          <w:color w:val="FF0000"/>
        </w:rPr>
        <w:t xml:space="preserve">of </w:t>
      </w:r>
      <w:r w:rsidR="009D2AC7">
        <w:rPr>
          <w:lang w:val="id-ID"/>
        </w:rPr>
        <w:t xml:space="preserve">20,173 tons. </w:t>
      </w:r>
      <w:r w:rsidR="009D2AC7" w:rsidRPr="00CC2589">
        <w:rPr>
          <w:highlight w:val="yellow"/>
          <w:lang w:val="id-ID"/>
        </w:rPr>
        <w:t>Wooden l</w:t>
      </w:r>
      <w:r w:rsidRPr="00CC2589">
        <w:rPr>
          <w:highlight w:val="yellow"/>
          <w:lang w:val="id-ID"/>
        </w:rPr>
        <w:t>ogs as the second largest commodity in which 2018 as the peak period with a magnitude of 18,639 tons and achievements of rubber commodities are ranked last with the same year of 11,721 tons.</w:t>
      </w:r>
      <w:r w:rsidR="00CC2589">
        <w:rPr>
          <w:color w:val="FF0000"/>
        </w:rPr>
        <w:t>--rephrase</w:t>
      </w:r>
    </w:p>
    <w:p w:rsidR="005B788C" w:rsidRDefault="005B788C" w:rsidP="00DA30CA">
      <w:pPr>
        <w:pStyle w:val="BodyText"/>
        <w:spacing w:before="7" w:line="283" w:lineRule="auto"/>
        <w:ind w:right="41"/>
        <w:jc w:val="both"/>
        <w:rPr>
          <w:color w:val="231F20"/>
          <w:w w:val="105"/>
          <w:lang w:val="id-ID"/>
        </w:rPr>
      </w:pPr>
    </w:p>
    <w:p w:rsidR="005B788C" w:rsidRDefault="00F728A9" w:rsidP="005B788C">
      <w:pPr>
        <w:pStyle w:val="BodyText"/>
        <w:tabs>
          <w:tab w:val="left" w:pos="2835"/>
        </w:tabs>
        <w:spacing w:before="6" w:line="283" w:lineRule="auto"/>
        <w:ind w:left="142" w:right="39"/>
        <w:jc w:val="center"/>
        <w:rPr>
          <w:color w:val="231F20"/>
          <w:w w:val="105"/>
          <w:sz w:val="15"/>
          <w:szCs w:val="15"/>
          <w:lang w:val="id-ID"/>
        </w:rPr>
      </w:pPr>
      <w:r>
        <w:rPr>
          <w:noProof/>
          <w:lang w:eastAsia="ko-KR"/>
        </w:rPr>
        <w:drawing>
          <wp:inline distT="0" distB="0" distL="0" distR="0" wp14:anchorId="38A8D7BA" wp14:editId="0F61E090">
            <wp:extent cx="2940711" cy="1872691"/>
            <wp:effectExtent l="0" t="0" r="12065"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788C" w:rsidRPr="006B0314" w:rsidRDefault="005B788C" w:rsidP="00F728A9">
      <w:pPr>
        <w:pStyle w:val="BodyText"/>
        <w:tabs>
          <w:tab w:val="left" w:pos="2835"/>
        </w:tabs>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Pr>
          <w:b/>
          <w:color w:val="231F20"/>
          <w:w w:val="105"/>
          <w:sz w:val="15"/>
          <w:szCs w:val="15"/>
          <w:lang w:val="id-ID"/>
        </w:rPr>
        <w:t>5</w:t>
      </w:r>
      <w:r w:rsidRPr="00A53CCD">
        <w:rPr>
          <w:color w:val="231F20"/>
          <w:w w:val="105"/>
          <w:sz w:val="15"/>
          <w:szCs w:val="15"/>
          <w:lang w:val="id-ID"/>
        </w:rPr>
        <w:t>:</w:t>
      </w:r>
    </w:p>
    <w:p w:rsidR="00F728A9" w:rsidRDefault="00F728A9" w:rsidP="00F728A9">
      <w:pPr>
        <w:pStyle w:val="BodyText"/>
        <w:spacing w:before="7" w:line="283" w:lineRule="auto"/>
        <w:ind w:left="130" w:right="39"/>
        <w:jc w:val="center"/>
        <w:rPr>
          <w:color w:val="231F20"/>
          <w:w w:val="105"/>
          <w:sz w:val="15"/>
          <w:szCs w:val="15"/>
          <w:lang w:val="id-ID"/>
        </w:rPr>
      </w:pPr>
      <w:r w:rsidRPr="00F728A9">
        <w:rPr>
          <w:color w:val="231F20"/>
          <w:w w:val="105"/>
          <w:sz w:val="15"/>
          <w:szCs w:val="15"/>
          <w:lang w:val="id-ID"/>
        </w:rPr>
        <w:t>Volume of Commodity Exports of</w:t>
      </w:r>
      <w:r w:rsidR="00DA30CA">
        <w:rPr>
          <w:color w:val="231F20"/>
          <w:w w:val="105"/>
          <w:sz w:val="15"/>
          <w:szCs w:val="15"/>
          <w:lang w:val="id-ID"/>
        </w:rPr>
        <w:t xml:space="preserve"> the</w:t>
      </w:r>
      <w:r w:rsidRPr="00F728A9">
        <w:rPr>
          <w:color w:val="231F20"/>
          <w:w w:val="105"/>
          <w:sz w:val="15"/>
          <w:szCs w:val="15"/>
          <w:lang w:val="id-ID"/>
        </w:rPr>
        <w:t xml:space="preserve"> Mining and Quarrying </w:t>
      </w:r>
    </w:p>
    <w:p w:rsidR="005B788C" w:rsidRDefault="00F728A9" w:rsidP="00F728A9">
      <w:pPr>
        <w:pStyle w:val="BodyText"/>
        <w:spacing w:before="7" w:line="283" w:lineRule="auto"/>
        <w:ind w:left="130" w:right="39"/>
        <w:jc w:val="center"/>
        <w:rPr>
          <w:color w:val="231F20"/>
          <w:w w:val="105"/>
          <w:lang w:val="id-ID"/>
        </w:rPr>
      </w:pPr>
      <w:r w:rsidRPr="00F728A9">
        <w:rPr>
          <w:color w:val="231F20"/>
          <w:w w:val="105"/>
          <w:sz w:val="15"/>
          <w:szCs w:val="15"/>
          <w:lang w:val="id-ID"/>
        </w:rPr>
        <w:t xml:space="preserve">Sector in Malinau </w:t>
      </w:r>
      <w:r w:rsidR="00E06274">
        <w:rPr>
          <w:color w:val="231F20"/>
          <w:w w:val="105"/>
          <w:sz w:val="15"/>
          <w:szCs w:val="15"/>
          <w:lang w:val="id-ID"/>
        </w:rPr>
        <w:t xml:space="preserve">Regency, </w:t>
      </w:r>
      <w:r>
        <w:rPr>
          <w:color w:val="231F20"/>
          <w:w w:val="105"/>
          <w:sz w:val="15"/>
          <w:szCs w:val="15"/>
          <w:lang w:val="id-ID"/>
        </w:rPr>
        <w:t>2009-2018 (Ton</w:t>
      </w:r>
      <w:r w:rsidRPr="00F728A9">
        <w:rPr>
          <w:color w:val="231F20"/>
          <w:w w:val="105"/>
          <w:sz w:val="15"/>
          <w:szCs w:val="15"/>
          <w:lang w:val="id-ID"/>
        </w:rPr>
        <w:t>s)</w:t>
      </w:r>
    </w:p>
    <w:p w:rsidR="005B788C" w:rsidRDefault="005B788C">
      <w:pPr>
        <w:pStyle w:val="BodyText"/>
        <w:spacing w:before="7" w:line="283" w:lineRule="auto"/>
        <w:ind w:left="130" w:right="41"/>
        <w:jc w:val="both"/>
        <w:rPr>
          <w:color w:val="231F20"/>
          <w:w w:val="105"/>
          <w:lang w:val="id-ID"/>
        </w:rPr>
      </w:pPr>
    </w:p>
    <w:p w:rsidR="00DA30CA" w:rsidRDefault="00F728A9" w:rsidP="0014335F">
      <w:pPr>
        <w:pStyle w:val="BodyText"/>
        <w:spacing w:before="1" w:line="283" w:lineRule="auto"/>
        <w:ind w:left="130" w:right="87" w:firstLine="170"/>
        <w:jc w:val="both"/>
        <w:rPr>
          <w:color w:val="231F20"/>
          <w:w w:val="105"/>
          <w:lang w:val="id-ID"/>
        </w:rPr>
      </w:pPr>
      <w:r w:rsidRPr="00F728A9">
        <w:rPr>
          <w:color w:val="231F20"/>
          <w:w w:val="105"/>
          <w:lang w:val="id-ID"/>
        </w:rPr>
        <w:t xml:space="preserve">When compared to the volume of commodity exports in the mining and quarrying sector in 2009-2018, Malinau Regency is more likely to rely on coal products than other commodities. </w:t>
      </w:r>
      <w:r w:rsidRPr="00CC2589">
        <w:rPr>
          <w:color w:val="231F20"/>
          <w:w w:val="105"/>
          <w:highlight w:val="yellow"/>
          <w:lang w:val="id-ID"/>
        </w:rPr>
        <w:t>Although of all the commodities this sector tends to fluctuate, but the volume of coal exports is greater where in 2015 reached 946,281 tons.</w:t>
      </w:r>
      <w:r w:rsidR="00CC2589">
        <w:rPr>
          <w:color w:val="FF0000"/>
          <w:w w:val="105"/>
        </w:rPr>
        <w:t>--rephrase</w:t>
      </w:r>
      <w:r w:rsidRPr="00F728A9">
        <w:rPr>
          <w:color w:val="231F20"/>
          <w:w w:val="105"/>
          <w:lang w:val="id-ID"/>
        </w:rPr>
        <w:t xml:space="preserve"> Meanwhile, natural gas was ranked next with the highest exports of 176,090 tons in 2014</w:t>
      </w:r>
      <w:r w:rsidR="00CC2589">
        <w:rPr>
          <w:color w:val="FF0000"/>
          <w:w w:val="105"/>
        </w:rPr>
        <w:t>,</w:t>
      </w:r>
      <w:r w:rsidRPr="00F728A9">
        <w:rPr>
          <w:color w:val="231F20"/>
          <w:w w:val="105"/>
          <w:lang w:val="id-ID"/>
        </w:rPr>
        <w:t xml:space="preserve"> and mining</w:t>
      </w:r>
      <w:r>
        <w:rPr>
          <w:color w:val="231F20"/>
          <w:w w:val="105"/>
          <w:lang w:val="id-ID"/>
        </w:rPr>
        <w:t xml:space="preserve"> or quarrying commodities (A, B, </w:t>
      </w:r>
      <w:r w:rsidRPr="00F728A9">
        <w:rPr>
          <w:color w:val="231F20"/>
          <w:w w:val="105"/>
          <w:lang w:val="id-ID"/>
        </w:rPr>
        <w:t xml:space="preserve">C) ranked third where the highest achievement in 2013 was 110,386 tons (see </w:t>
      </w:r>
      <w:r w:rsidRPr="00F728A9">
        <w:rPr>
          <w:i/>
          <w:color w:val="231F20"/>
          <w:w w:val="105"/>
          <w:lang w:val="id-ID"/>
        </w:rPr>
        <w:t>Figure 5</w:t>
      </w:r>
      <w:r w:rsidRPr="00F728A9">
        <w:rPr>
          <w:color w:val="231F20"/>
          <w:w w:val="105"/>
          <w:lang w:val="id-ID"/>
        </w:rPr>
        <w:t>)</w:t>
      </w:r>
      <w:r>
        <w:rPr>
          <w:color w:val="231F20"/>
          <w:w w:val="105"/>
          <w:lang w:val="id-ID"/>
        </w:rPr>
        <w:t>.</w:t>
      </w:r>
    </w:p>
    <w:p w:rsidR="00F728A9" w:rsidRDefault="00F728A9" w:rsidP="00FC38A2">
      <w:pPr>
        <w:pStyle w:val="BodyText"/>
        <w:spacing w:before="1" w:line="283" w:lineRule="auto"/>
        <w:ind w:left="130" w:right="87" w:firstLine="170"/>
        <w:jc w:val="both"/>
        <w:rPr>
          <w:color w:val="231F20"/>
          <w:w w:val="105"/>
          <w:lang w:val="id-ID"/>
        </w:rPr>
      </w:pPr>
    </w:p>
    <w:p w:rsidR="00F728A9" w:rsidRDefault="00DA30CA" w:rsidP="00DA30CA">
      <w:pPr>
        <w:pStyle w:val="BodyText"/>
        <w:tabs>
          <w:tab w:val="left" w:pos="142"/>
        </w:tabs>
        <w:spacing w:before="1" w:line="283" w:lineRule="auto"/>
        <w:ind w:left="142" w:right="87"/>
        <w:jc w:val="both"/>
        <w:rPr>
          <w:color w:val="231F20"/>
          <w:w w:val="105"/>
          <w:lang w:val="id-ID"/>
        </w:rPr>
      </w:pPr>
      <w:r>
        <w:rPr>
          <w:noProof/>
          <w:lang w:eastAsia="ko-KR"/>
        </w:rPr>
        <w:drawing>
          <wp:inline distT="0" distB="0" distL="0" distR="0" wp14:anchorId="4003C288" wp14:editId="6B4AAB0D">
            <wp:extent cx="2955851" cy="1935126"/>
            <wp:effectExtent l="0" t="0" r="16510" b="273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28A9" w:rsidRPr="006B0314" w:rsidRDefault="00F728A9" w:rsidP="00F728A9">
      <w:pPr>
        <w:pStyle w:val="BodyText"/>
        <w:tabs>
          <w:tab w:val="left" w:pos="2835"/>
        </w:tabs>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Pr>
          <w:b/>
          <w:color w:val="231F20"/>
          <w:w w:val="105"/>
          <w:sz w:val="15"/>
          <w:szCs w:val="15"/>
          <w:lang w:val="id-ID"/>
        </w:rPr>
        <w:t>6</w:t>
      </w:r>
      <w:r w:rsidRPr="00A53CCD">
        <w:rPr>
          <w:color w:val="231F20"/>
          <w:w w:val="105"/>
          <w:sz w:val="15"/>
          <w:szCs w:val="15"/>
          <w:lang w:val="id-ID"/>
        </w:rPr>
        <w:t>:</w:t>
      </w:r>
    </w:p>
    <w:p w:rsidR="00DA30CA" w:rsidRDefault="00DA30CA" w:rsidP="00F728A9">
      <w:pPr>
        <w:pStyle w:val="BodyText"/>
        <w:spacing w:before="7" w:line="283" w:lineRule="auto"/>
        <w:ind w:left="130" w:right="39"/>
        <w:jc w:val="center"/>
        <w:rPr>
          <w:color w:val="231F20"/>
          <w:w w:val="105"/>
          <w:sz w:val="15"/>
          <w:szCs w:val="15"/>
          <w:lang w:val="id-ID"/>
        </w:rPr>
      </w:pPr>
      <w:r w:rsidRPr="00DA30CA">
        <w:rPr>
          <w:color w:val="231F20"/>
          <w:w w:val="105"/>
          <w:sz w:val="15"/>
          <w:szCs w:val="15"/>
          <w:lang w:val="id-ID"/>
        </w:rPr>
        <w:t xml:space="preserve">Value of Agricultural Sector Commodity Exports </w:t>
      </w:r>
    </w:p>
    <w:p w:rsidR="00F728A9" w:rsidRDefault="00DA30CA" w:rsidP="00F728A9">
      <w:pPr>
        <w:pStyle w:val="BodyText"/>
        <w:spacing w:before="7" w:line="283" w:lineRule="auto"/>
        <w:ind w:left="130" w:right="39"/>
        <w:jc w:val="center"/>
        <w:rPr>
          <w:color w:val="231F20"/>
          <w:w w:val="105"/>
          <w:lang w:val="id-ID"/>
        </w:rPr>
      </w:pPr>
      <w:r w:rsidRPr="00DA30CA">
        <w:rPr>
          <w:color w:val="231F20"/>
          <w:w w:val="105"/>
          <w:sz w:val="15"/>
          <w:szCs w:val="15"/>
          <w:lang w:val="id-ID"/>
        </w:rPr>
        <w:t>in</w:t>
      </w:r>
      <w:r w:rsidR="00E06274">
        <w:rPr>
          <w:color w:val="231F20"/>
          <w:w w:val="105"/>
          <w:sz w:val="15"/>
          <w:szCs w:val="15"/>
          <w:lang w:val="id-ID"/>
        </w:rPr>
        <w:t xml:space="preserve"> Malinau Regency, </w:t>
      </w:r>
      <w:r>
        <w:rPr>
          <w:color w:val="231F20"/>
          <w:w w:val="105"/>
          <w:sz w:val="15"/>
          <w:szCs w:val="15"/>
          <w:lang w:val="id-ID"/>
        </w:rPr>
        <w:t>2009-2018 (US</w:t>
      </w:r>
      <w:r w:rsidRPr="00DA30CA">
        <w:rPr>
          <w:color w:val="231F20"/>
          <w:w w:val="105"/>
          <w:sz w:val="15"/>
          <w:szCs w:val="15"/>
          <w:lang w:val="id-ID"/>
        </w:rPr>
        <w:t>$)</w:t>
      </w:r>
    </w:p>
    <w:p w:rsidR="00F728A9" w:rsidRDefault="00F728A9" w:rsidP="00FC38A2">
      <w:pPr>
        <w:pStyle w:val="BodyText"/>
        <w:spacing w:before="1" w:line="283" w:lineRule="auto"/>
        <w:ind w:left="130" w:right="87" w:firstLine="170"/>
        <w:jc w:val="both"/>
        <w:rPr>
          <w:color w:val="231F20"/>
          <w:w w:val="105"/>
          <w:lang w:val="id-ID"/>
        </w:rPr>
      </w:pPr>
    </w:p>
    <w:p w:rsidR="0014335F" w:rsidRDefault="0014335F" w:rsidP="00FC38A2">
      <w:pPr>
        <w:pStyle w:val="BodyText"/>
        <w:spacing w:before="1" w:line="283" w:lineRule="auto"/>
        <w:ind w:left="130" w:right="87" w:firstLine="170"/>
        <w:jc w:val="both"/>
        <w:rPr>
          <w:color w:val="231F20"/>
          <w:w w:val="105"/>
          <w:lang w:val="id-ID"/>
        </w:rPr>
      </w:pPr>
    </w:p>
    <w:p w:rsidR="00792286" w:rsidRDefault="00792286" w:rsidP="00FC38A2">
      <w:pPr>
        <w:pStyle w:val="BodyText"/>
        <w:spacing w:before="1" w:line="283" w:lineRule="auto"/>
        <w:ind w:left="130" w:right="87" w:firstLine="170"/>
        <w:jc w:val="both"/>
        <w:rPr>
          <w:color w:val="231F20"/>
          <w:w w:val="105"/>
          <w:lang w:val="id-ID"/>
        </w:rPr>
      </w:pPr>
    </w:p>
    <w:p w:rsidR="0014335F" w:rsidRDefault="0014335F" w:rsidP="0014335F">
      <w:pPr>
        <w:pStyle w:val="BodyText"/>
        <w:spacing w:before="1" w:line="283" w:lineRule="auto"/>
        <w:ind w:left="130" w:right="87" w:firstLine="170"/>
        <w:jc w:val="both"/>
        <w:rPr>
          <w:color w:val="231F20"/>
          <w:w w:val="105"/>
          <w:lang w:val="id-ID"/>
        </w:rPr>
      </w:pPr>
      <w:r w:rsidRPr="00DA30CA">
        <w:rPr>
          <w:color w:val="231F20"/>
          <w:w w:val="105"/>
          <w:lang w:val="id-ID"/>
        </w:rPr>
        <w:t xml:space="preserve">The export results of 3 main commodities from the agricultural sector in Malinau Regency based on their value over the past 10 years have experienced a positive increase. Unlike the case in terms of volume quantity, the data shows that logs are the commodity with the largest export value </w:t>
      </w:r>
      <w:r w:rsidR="00CC2589">
        <w:rPr>
          <w:color w:val="FF0000"/>
          <w:w w:val="105"/>
        </w:rPr>
        <w:t xml:space="preserve">as </w:t>
      </w:r>
      <w:r w:rsidRPr="00DA30CA">
        <w:rPr>
          <w:color w:val="231F20"/>
          <w:w w:val="105"/>
          <w:lang w:val="id-ID"/>
        </w:rPr>
        <w:t>compared to the others, where the highest occurr</w:t>
      </w:r>
      <w:r>
        <w:rPr>
          <w:color w:val="231F20"/>
          <w:w w:val="105"/>
          <w:lang w:val="id-ID"/>
        </w:rPr>
        <w:t xml:space="preserve">ed in 2018 is </w:t>
      </w:r>
      <w:r w:rsidR="00D26F64">
        <w:rPr>
          <w:color w:val="FF0000"/>
          <w:w w:val="105"/>
        </w:rPr>
        <w:t>U.S. $</w:t>
      </w:r>
      <w:r>
        <w:rPr>
          <w:color w:val="231F20"/>
          <w:w w:val="105"/>
          <w:lang w:val="id-ID"/>
        </w:rPr>
        <w:t xml:space="preserve">18,540,188 </w:t>
      </w:r>
      <w:r w:rsidRPr="00D26F64">
        <w:rPr>
          <w:strike/>
          <w:color w:val="FF0000"/>
          <w:w w:val="105"/>
          <w:lang w:val="id-ID"/>
        </w:rPr>
        <w:t>US$</w:t>
      </w:r>
      <w:r w:rsidRPr="00DA30CA">
        <w:rPr>
          <w:color w:val="231F20"/>
          <w:w w:val="105"/>
          <w:lang w:val="id-ID"/>
        </w:rPr>
        <w:t>. Meanwhile, palm oil is the second largest commodity where</w:t>
      </w:r>
      <w:r w:rsidR="00D26F64">
        <w:rPr>
          <w:color w:val="FF0000"/>
          <w:w w:val="105"/>
        </w:rPr>
        <w:t>,</w:t>
      </w:r>
      <w:r w:rsidRPr="00DA30CA">
        <w:rPr>
          <w:color w:val="231F20"/>
          <w:w w:val="105"/>
          <w:lang w:val="id-ID"/>
        </w:rPr>
        <w:t xml:space="preserve"> in the</w:t>
      </w:r>
      <w:r>
        <w:rPr>
          <w:color w:val="231F20"/>
          <w:w w:val="105"/>
          <w:lang w:val="id-ID"/>
        </w:rPr>
        <w:t xml:space="preserve"> same year</w:t>
      </w:r>
      <w:r w:rsidR="00D26F64">
        <w:rPr>
          <w:color w:val="FF0000"/>
          <w:w w:val="105"/>
        </w:rPr>
        <w:t>,</w:t>
      </w:r>
      <w:r>
        <w:rPr>
          <w:color w:val="231F20"/>
          <w:w w:val="105"/>
          <w:lang w:val="id-ID"/>
        </w:rPr>
        <w:t xml:space="preserve"> it reached </w:t>
      </w:r>
      <w:r w:rsidR="00D26F64">
        <w:rPr>
          <w:color w:val="FF0000"/>
          <w:w w:val="105"/>
        </w:rPr>
        <w:t>U.S. $</w:t>
      </w:r>
      <w:r>
        <w:rPr>
          <w:color w:val="231F20"/>
          <w:w w:val="105"/>
          <w:lang w:val="id-ID"/>
        </w:rPr>
        <w:t>83,642</w:t>
      </w:r>
      <w:r w:rsidR="00D26F64">
        <w:rPr>
          <w:color w:val="FF0000"/>
          <w:w w:val="105"/>
        </w:rPr>
        <w:t>,</w:t>
      </w:r>
      <w:r>
        <w:rPr>
          <w:color w:val="231F20"/>
          <w:w w:val="105"/>
          <w:lang w:val="id-ID"/>
        </w:rPr>
        <w:t xml:space="preserve"> </w:t>
      </w:r>
      <w:r w:rsidRPr="00D26F64">
        <w:rPr>
          <w:strike/>
          <w:color w:val="FF0000"/>
          <w:w w:val="105"/>
          <w:lang w:val="id-ID"/>
        </w:rPr>
        <w:t>US$</w:t>
      </w:r>
      <w:r w:rsidRPr="00DA30CA">
        <w:rPr>
          <w:color w:val="231F20"/>
          <w:w w:val="105"/>
          <w:lang w:val="id-ID"/>
        </w:rPr>
        <w:t xml:space="preserve"> and the achievement of rubber commodity was in the last place </w:t>
      </w:r>
      <w:r w:rsidRPr="00D26F64">
        <w:rPr>
          <w:strike/>
          <w:color w:val="FF0000"/>
          <w:w w:val="105"/>
          <w:lang w:val="id-ID"/>
        </w:rPr>
        <w:t>with the same year</w:t>
      </w:r>
      <w:r w:rsidRPr="00D26F64">
        <w:rPr>
          <w:color w:val="FF0000"/>
          <w:w w:val="105"/>
          <w:lang w:val="id-ID"/>
        </w:rPr>
        <w:t xml:space="preserve"> </w:t>
      </w:r>
      <w:r>
        <w:rPr>
          <w:color w:val="231F20"/>
          <w:w w:val="105"/>
          <w:lang w:val="id-ID"/>
        </w:rPr>
        <w:t xml:space="preserve">at </w:t>
      </w:r>
      <w:r w:rsidR="00D26F64">
        <w:rPr>
          <w:color w:val="FF0000"/>
          <w:w w:val="105"/>
        </w:rPr>
        <w:t>U.S. $</w:t>
      </w:r>
      <w:r>
        <w:rPr>
          <w:color w:val="231F20"/>
          <w:w w:val="105"/>
          <w:lang w:val="id-ID"/>
        </w:rPr>
        <w:t xml:space="preserve">37,300 </w:t>
      </w:r>
      <w:r w:rsidRPr="00D26F64">
        <w:rPr>
          <w:strike/>
          <w:color w:val="FF0000"/>
          <w:w w:val="105"/>
          <w:lang w:val="id-ID"/>
        </w:rPr>
        <w:t>US$</w:t>
      </w:r>
      <w:r>
        <w:rPr>
          <w:color w:val="231F20"/>
          <w:w w:val="105"/>
          <w:lang w:val="id-ID"/>
        </w:rPr>
        <w:t xml:space="preserve"> (</w:t>
      </w:r>
      <w:r w:rsidRPr="00DA30CA">
        <w:rPr>
          <w:i/>
          <w:color w:val="231F20"/>
          <w:w w:val="105"/>
          <w:lang w:val="id-ID"/>
        </w:rPr>
        <w:t>Figure 6</w:t>
      </w:r>
      <w:r>
        <w:rPr>
          <w:color w:val="231F20"/>
          <w:w w:val="105"/>
          <w:lang w:val="id-ID"/>
        </w:rPr>
        <w:t>)</w:t>
      </w:r>
      <w:r w:rsidRPr="00DA30CA">
        <w:rPr>
          <w:color w:val="231F20"/>
          <w:w w:val="105"/>
          <w:lang w:val="id-ID"/>
        </w:rPr>
        <w:t>.</w:t>
      </w:r>
    </w:p>
    <w:p w:rsidR="00FC38A2" w:rsidRDefault="00DA30CA" w:rsidP="00FC38A2">
      <w:pPr>
        <w:pStyle w:val="BodyText"/>
        <w:spacing w:before="1" w:line="283" w:lineRule="auto"/>
        <w:ind w:left="130" w:right="87" w:firstLine="170"/>
        <w:jc w:val="both"/>
        <w:rPr>
          <w:color w:val="231F20"/>
          <w:w w:val="105"/>
          <w:lang w:val="id-ID"/>
        </w:rPr>
      </w:pPr>
      <w:r w:rsidRPr="00131B24">
        <w:rPr>
          <w:strike/>
          <w:color w:val="FF0000"/>
          <w:w w:val="105"/>
          <w:lang w:val="id-ID"/>
        </w:rPr>
        <w:t>It is known from</w:t>
      </w:r>
      <w:r w:rsidRPr="00131B24">
        <w:rPr>
          <w:color w:val="FF0000"/>
          <w:w w:val="105"/>
          <w:lang w:val="id-ID"/>
        </w:rPr>
        <w:t xml:space="preserve"> </w:t>
      </w:r>
      <w:r w:rsidRPr="00DA30CA">
        <w:rPr>
          <w:i/>
          <w:color w:val="231F20"/>
          <w:w w:val="105"/>
          <w:lang w:val="id-ID"/>
        </w:rPr>
        <w:t>Figure 7</w:t>
      </w:r>
      <w:r w:rsidRPr="00131B24">
        <w:rPr>
          <w:strike/>
          <w:color w:val="FF0000"/>
          <w:w w:val="105"/>
          <w:lang w:val="id-ID"/>
        </w:rPr>
        <w:t xml:space="preserve">, </w:t>
      </w:r>
      <w:r w:rsidR="00131B24">
        <w:rPr>
          <w:color w:val="FF0000"/>
          <w:w w:val="105"/>
        </w:rPr>
        <w:t xml:space="preserve"> shows </w:t>
      </w:r>
      <w:r w:rsidRPr="00DA30CA">
        <w:rPr>
          <w:color w:val="231F20"/>
          <w:w w:val="105"/>
          <w:lang w:val="id-ID"/>
        </w:rPr>
        <w:t>the value of commodity exports in the mining and quarrying sector during the observation object</w:t>
      </w:r>
      <w:r w:rsidRPr="008352EC">
        <w:rPr>
          <w:strike/>
          <w:color w:val="FF0000"/>
          <w:w w:val="105"/>
          <w:lang w:val="id-ID"/>
        </w:rPr>
        <w:t xml:space="preserve">, </w:t>
      </w:r>
      <w:r w:rsidR="008352EC">
        <w:rPr>
          <w:color w:val="FF0000"/>
          <w:w w:val="105"/>
        </w:rPr>
        <w:t xml:space="preserve">.  </w:t>
      </w:r>
      <w:r w:rsidRPr="00DA30CA">
        <w:rPr>
          <w:color w:val="231F20"/>
          <w:w w:val="105"/>
          <w:lang w:val="id-ID"/>
        </w:rPr>
        <w:t xml:space="preserve">Malinau Regency is more likely to rely on coal products than other commodities. </w:t>
      </w:r>
      <w:r w:rsidRPr="008352EC">
        <w:rPr>
          <w:color w:val="231F20"/>
          <w:w w:val="105"/>
          <w:highlight w:val="yellow"/>
          <w:lang w:val="id-ID"/>
        </w:rPr>
        <w:t>Although of all the commodities this sector tends to fluctuate, but</w:t>
      </w:r>
      <w:r w:rsidRPr="00DA30CA">
        <w:rPr>
          <w:color w:val="231F20"/>
          <w:w w:val="105"/>
          <w:lang w:val="id-ID"/>
        </w:rPr>
        <w:t xml:space="preserve"> </w:t>
      </w:r>
      <w:r w:rsidR="008352EC">
        <w:rPr>
          <w:color w:val="FF0000"/>
          <w:w w:val="105"/>
        </w:rPr>
        <w:t>-- rephrase</w:t>
      </w:r>
      <w:r w:rsidR="008352EC" w:rsidRPr="00DA30CA">
        <w:rPr>
          <w:color w:val="231F20"/>
          <w:w w:val="105"/>
          <w:lang w:val="id-ID"/>
        </w:rPr>
        <w:t xml:space="preserve"> </w:t>
      </w:r>
      <w:r w:rsidRPr="00DA30CA">
        <w:rPr>
          <w:color w:val="231F20"/>
          <w:w w:val="105"/>
          <w:lang w:val="id-ID"/>
        </w:rPr>
        <w:t>the volume of coal exports is greater where most for 2015 reached 807,177,6</w:t>
      </w:r>
      <w:r>
        <w:rPr>
          <w:color w:val="231F20"/>
          <w:w w:val="105"/>
          <w:lang w:val="id-ID"/>
        </w:rPr>
        <w:t xml:space="preserve">93 </w:t>
      </w:r>
      <w:r w:rsidRPr="008352EC">
        <w:rPr>
          <w:color w:val="231F20"/>
          <w:w w:val="105"/>
          <w:highlight w:val="yellow"/>
          <w:lang w:val="id-ID"/>
        </w:rPr>
        <w:t>US$</w:t>
      </w:r>
      <w:r w:rsidRPr="00DA30CA">
        <w:rPr>
          <w:color w:val="231F20"/>
          <w:w w:val="105"/>
          <w:lang w:val="id-ID"/>
        </w:rPr>
        <w:t xml:space="preserve">. Meanwhile, natural gas was ranked next with the highest exports of 132,950,883 </w:t>
      </w:r>
      <w:r w:rsidRPr="008352EC">
        <w:rPr>
          <w:color w:val="231F20"/>
          <w:w w:val="105"/>
          <w:highlight w:val="yellow"/>
          <w:lang w:val="id-ID"/>
        </w:rPr>
        <w:t>US $</w:t>
      </w:r>
      <w:r w:rsidRPr="00DA30CA">
        <w:rPr>
          <w:color w:val="231F20"/>
          <w:w w:val="105"/>
          <w:lang w:val="id-ID"/>
        </w:rPr>
        <w:t xml:space="preserve"> in 2014</w:t>
      </w:r>
      <w:r w:rsidR="008352EC">
        <w:rPr>
          <w:color w:val="FF0000"/>
          <w:w w:val="105"/>
        </w:rPr>
        <w:t>,</w:t>
      </w:r>
      <w:r w:rsidRPr="00DA30CA">
        <w:rPr>
          <w:color w:val="231F20"/>
          <w:w w:val="105"/>
          <w:lang w:val="id-ID"/>
        </w:rPr>
        <w:t xml:space="preserve"> and commodi</w:t>
      </w:r>
      <w:r>
        <w:rPr>
          <w:color w:val="231F20"/>
          <w:w w:val="105"/>
          <w:lang w:val="id-ID"/>
        </w:rPr>
        <w:t>ty mining or quarrying (A, B</w:t>
      </w:r>
      <w:r w:rsidRPr="00DA30CA">
        <w:rPr>
          <w:color w:val="231F20"/>
          <w:w w:val="105"/>
          <w:lang w:val="id-ID"/>
        </w:rPr>
        <w:t xml:space="preserve"> C) occupies the third position where the highest achiev</w:t>
      </w:r>
      <w:r>
        <w:rPr>
          <w:color w:val="231F20"/>
          <w:w w:val="105"/>
          <w:lang w:val="id-ID"/>
        </w:rPr>
        <w:t xml:space="preserve">ement in 2013 was 96,366,978 </w:t>
      </w:r>
      <w:r w:rsidRPr="008352EC">
        <w:rPr>
          <w:color w:val="231F20"/>
          <w:w w:val="105"/>
          <w:highlight w:val="yellow"/>
          <w:lang w:val="id-ID"/>
        </w:rPr>
        <w:t>US$</w:t>
      </w:r>
      <w:r w:rsidRPr="00DA30CA">
        <w:rPr>
          <w:color w:val="231F20"/>
          <w:w w:val="105"/>
          <w:lang w:val="id-ID"/>
        </w:rPr>
        <w:t>.</w:t>
      </w:r>
    </w:p>
    <w:p w:rsidR="00DA30CA" w:rsidRDefault="00DA30CA" w:rsidP="00FC38A2">
      <w:pPr>
        <w:pStyle w:val="BodyText"/>
        <w:spacing w:before="1" w:line="283" w:lineRule="auto"/>
        <w:ind w:left="130" w:right="87" w:firstLine="170"/>
        <w:jc w:val="both"/>
        <w:rPr>
          <w:color w:val="231F20"/>
          <w:w w:val="105"/>
          <w:lang w:val="id-ID"/>
        </w:rPr>
      </w:pPr>
    </w:p>
    <w:p w:rsidR="00DA30CA" w:rsidRDefault="00DA30CA" w:rsidP="0014335F">
      <w:pPr>
        <w:pStyle w:val="BodyText"/>
        <w:spacing w:before="1" w:line="283" w:lineRule="auto"/>
        <w:ind w:left="130" w:right="123" w:firstLine="12"/>
        <w:jc w:val="both"/>
        <w:rPr>
          <w:color w:val="231F20"/>
          <w:w w:val="105"/>
          <w:lang w:val="id-ID"/>
        </w:rPr>
      </w:pPr>
      <w:r>
        <w:rPr>
          <w:noProof/>
          <w:lang w:eastAsia="ko-KR"/>
        </w:rPr>
        <w:drawing>
          <wp:inline distT="0" distB="0" distL="0" distR="0" wp14:anchorId="5D049A17" wp14:editId="1498532D">
            <wp:extent cx="3065068" cy="1843430"/>
            <wp:effectExtent l="0" t="0" r="21590"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30CA" w:rsidRPr="006B0314" w:rsidRDefault="00DA30CA" w:rsidP="00DA30CA">
      <w:pPr>
        <w:pStyle w:val="BodyText"/>
        <w:tabs>
          <w:tab w:val="left" w:pos="2835"/>
        </w:tabs>
        <w:spacing w:before="6" w:line="283" w:lineRule="auto"/>
        <w:ind w:right="39"/>
        <w:jc w:val="center"/>
        <w:rPr>
          <w:color w:val="231F20"/>
          <w:w w:val="105"/>
          <w:sz w:val="15"/>
          <w:szCs w:val="15"/>
          <w:lang w:val="id-ID"/>
        </w:rPr>
      </w:pPr>
      <w:r w:rsidRPr="00A53CCD">
        <w:rPr>
          <w:b/>
          <w:color w:val="231F20"/>
          <w:w w:val="105"/>
          <w:sz w:val="15"/>
          <w:szCs w:val="15"/>
          <w:lang w:val="id-ID"/>
        </w:rPr>
        <w:t xml:space="preserve">Figure </w:t>
      </w:r>
      <w:r>
        <w:rPr>
          <w:b/>
          <w:color w:val="231F20"/>
          <w:w w:val="105"/>
          <w:sz w:val="15"/>
          <w:szCs w:val="15"/>
          <w:lang w:val="id-ID"/>
        </w:rPr>
        <w:t>7</w:t>
      </w:r>
      <w:r w:rsidRPr="00A53CCD">
        <w:rPr>
          <w:color w:val="231F20"/>
          <w:w w:val="105"/>
          <w:sz w:val="15"/>
          <w:szCs w:val="15"/>
          <w:lang w:val="id-ID"/>
        </w:rPr>
        <w:t>:</w:t>
      </w:r>
    </w:p>
    <w:p w:rsidR="00DA30CA" w:rsidRDefault="00DA30CA" w:rsidP="00DA30CA">
      <w:pPr>
        <w:pStyle w:val="BodyText"/>
        <w:spacing w:before="7" w:line="283" w:lineRule="auto"/>
        <w:ind w:left="130" w:right="39"/>
        <w:jc w:val="center"/>
        <w:rPr>
          <w:color w:val="231F20"/>
          <w:w w:val="105"/>
          <w:sz w:val="15"/>
          <w:szCs w:val="15"/>
          <w:lang w:val="id-ID"/>
        </w:rPr>
      </w:pPr>
      <w:r w:rsidRPr="00DA30CA">
        <w:rPr>
          <w:color w:val="231F20"/>
          <w:w w:val="105"/>
          <w:sz w:val="15"/>
          <w:szCs w:val="15"/>
          <w:lang w:val="id-ID"/>
        </w:rPr>
        <w:t xml:space="preserve">Value of Mining and Quarrying Sector Commodity Exports </w:t>
      </w:r>
    </w:p>
    <w:p w:rsidR="00FC38A2" w:rsidRDefault="00DA30CA" w:rsidP="00427F95">
      <w:pPr>
        <w:pStyle w:val="BodyText"/>
        <w:spacing w:before="7" w:line="283" w:lineRule="auto"/>
        <w:ind w:left="130" w:right="39"/>
        <w:jc w:val="center"/>
        <w:rPr>
          <w:color w:val="231F20"/>
          <w:w w:val="105"/>
          <w:sz w:val="15"/>
          <w:szCs w:val="15"/>
          <w:lang w:val="id-ID"/>
        </w:rPr>
      </w:pPr>
      <w:r w:rsidRPr="00DA30CA">
        <w:rPr>
          <w:color w:val="231F20"/>
          <w:w w:val="105"/>
          <w:sz w:val="15"/>
          <w:szCs w:val="15"/>
          <w:lang w:val="id-ID"/>
        </w:rPr>
        <w:t>in</w:t>
      </w:r>
      <w:r w:rsidR="00E06274">
        <w:rPr>
          <w:color w:val="231F20"/>
          <w:w w:val="105"/>
          <w:sz w:val="15"/>
          <w:szCs w:val="15"/>
          <w:lang w:val="id-ID"/>
        </w:rPr>
        <w:t xml:space="preserve"> Malinau Regency, </w:t>
      </w:r>
      <w:r>
        <w:rPr>
          <w:color w:val="231F20"/>
          <w:w w:val="105"/>
          <w:sz w:val="15"/>
          <w:szCs w:val="15"/>
          <w:lang w:val="id-ID"/>
        </w:rPr>
        <w:t>2009-2018 (US</w:t>
      </w:r>
      <w:r w:rsidRPr="00DA30CA">
        <w:rPr>
          <w:color w:val="231F20"/>
          <w:w w:val="105"/>
          <w:sz w:val="15"/>
          <w:szCs w:val="15"/>
          <w:lang w:val="id-ID"/>
        </w:rPr>
        <w:t>$)</w:t>
      </w:r>
    </w:p>
    <w:p w:rsidR="00427F95" w:rsidRPr="00427F95" w:rsidRDefault="00427F95" w:rsidP="00427F95">
      <w:pPr>
        <w:pStyle w:val="BodyText"/>
        <w:spacing w:before="7" w:line="283" w:lineRule="auto"/>
        <w:ind w:left="130" w:right="39"/>
        <w:jc w:val="center"/>
        <w:rPr>
          <w:color w:val="231F20"/>
          <w:w w:val="105"/>
          <w:sz w:val="15"/>
          <w:szCs w:val="15"/>
          <w:lang w:val="id-ID"/>
        </w:rPr>
      </w:pPr>
    </w:p>
    <w:p w:rsidR="00427F95" w:rsidRPr="00664E67" w:rsidRDefault="00427F95" w:rsidP="00427F95">
      <w:pPr>
        <w:pStyle w:val="BodyText"/>
        <w:spacing w:before="1" w:line="283" w:lineRule="auto"/>
        <w:ind w:left="130" w:right="87" w:firstLine="170"/>
        <w:jc w:val="both"/>
        <w:rPr>
          <w:color w:val="FF0000"/>
          <w:w w:val="105"/>
        </w:rPr>
      </w:pPr>
      <w:r w:rsidRPr="00664E67">
        <w:rPr>
          <w:color w:val="231F20"/>
          <w:w w:val="105"/>
          <w:highlight w:val="yellow"/>
          <w:lang w:val="id-ID"/>
        </w:rPr>
        <w:t>In international competition, especially in the competitiveness of export products, there are three aspects that need to be considered according to Amir (2003) are as follows:</w:t>
      </w:r>
      <w:r w:rsidR="00664E67">
        <w:rPr>
          <w:color w:val="FF0000"/>
          <w:w w:val="105"/>
        </w:rPr>
        <w:t>--  rephrase</w:t>
      </w:r>
    </w:p>
    <w:p w:rsidR="00427F95" w:rsidRDefault="00427F95" w:rsidP="00427F95">
      <w:pPr>
        <w:pStyle w:val="BodyText"/>
        <w:numPr>
          <w:ilvl w:val="0"/>
          <w:numId w:val="9"/>
        </w:numPr>
        <w:spacing w:before="1" w:line="283" w:lineRule="auto"/>
        <w:ind w:left="284" w:right="87" w:hanging="142"/>
        <w:jc w:val="both"/>
        <w:rPr>
          <w:color w:val="231F20"/>
          <w:w w:val="105"/>
          <w:lang w:val="id-ID"/>
        </w:rPr>
      </w:pPr>
      <w:r w:rsidRPr="00427F95">
        <w:rPr>
          <w:color w:val="231F20"/>
          <w:w w:val="105"/>
          <w:lang w:val="id-ID"/>
        </w:rPr>
        <w:t>Price</w:t>
      </w:r>
      <w:r w:rsidRPr="00664E67">
        <w:rPr>
          <w:strike/>
          <w:color w:val="FF0000"/>
          <w:w w:val="105"/>
          <w:lang w:val="id-ID"/>
        </w:rPr>
        <w:t xml:space="preserve">, </w:t>
      </w:r>
      <w:r w:rsidR="00664E67">
        <w:rPr>
          <w:color w:val="FF0000"/>
          <w:w w:val="105"/>
        </w:rPr>
        <w:t>: I</w:t>
      </w:r>
      <w:r w:rsidRPr="00427F95">
        <w:rPr>
          <w:color w:val="231F20"/>
          <w:w w:val="105"/>
          <w:lang w:val="id-ID"/>
        </w:rPr>
        <w:t>n offering a product</w:t>
      </w:r>
      <w:r w:rsidR="00664E67">
        <w:rPr>
          <w:color w:val="FF0000"/>
          <w:w w:val="105"/>
        </w:rPr>
        <w:t>,</w:t>
      </w:r>
      <w:r w:rsidRPr="00427F95">
        <w:rPr>
          <w:color w:val="231F20"/>
          <w:w w:val="105"/>
          <w:lang w:val="id-ID"/>
        </w:rPr>
        <w:t xml:space="preserve"> the price must be the same or lower than the price offered by competitors, or the production cost </w:t>
      </w:r>
      <w:r w:rsidRPr="00664E67">
        <w:rPr>
          <w:color w:val="231F20"/>
          <w:w w:val="105"/>
          <w:highlight w:val="yellow"/>
          <w:lang w:val="id-ID"/>
        </w:rPr>
        <w:t>is</w:t>
      </w:r>
      <w:r w:rsidR="00664E67">
        <w:rPr>
          <w:color w:val="FF0000"/>
          <w:w w:val="105"/>
        </w:rPr>
        <w:t>--reword</w:t>
      </w:r>
      <w:r w:rsidRPr="00427F95">
        <w:rPr>
          <w:color w:val="231F20"/>
          <w:w w:val="105"/>
          <w:lang w:val="id-ID"/>
        </w:rPr>
        <w:t xml:space="preserve"> lower than the cost of production in the destination country. In this case, the exporting country has a comparative advantage.</w:t>
      </w:r>
    </w:p>
    <w:p w:rsidR="00427F95" w:rsidRDefault="00427F95" w:rsidP="00427F95">
      <w:pPr>
        <w:pStyle w:val="BodyText"/>
        <w:numPr>
          <w:ilvl w:val="0"/>
          <w:numId w:val="9"/>
        </w:numPr>
        <w:spacing w:before="1" w:line="283" w:lineRule="auto"/>
        <w:ind w:left="284" w:right="87" w:hanging="142"/>
        <w:jc w:val="both"/>
        <w:rPr>
          <w:color w:val="231F20"/>
          <w:w w:val="105"/>
          <w:lang w:val="id-ID"/>
        </w:rPr>
      </w:pPr>
      <w:r w:rsidRPr="00427F95">
        <w:rPr>
          <w:color w:val="231F20"/>
          <w:w w:val="105"/>
          <w:lang w:val="id-ID"/>
        </w:rPr>
        <w:t>Product quality</w:t>
      </w:r>
      <w:r w:rsidRPr="00664E67">
        <w:rPr>
          <w:strike/>
          <w:color w:val="FF0000"/>
          <w:w w:val="105"/>
          <w:lang w:val="id-ID"/>
        </w:rPr>
        <w:t xml:space="preserve">, </w:t>
      </w:r>
      <w:r w:rsidR="00664E67">
        <w:rPr>
          <w:color w:val="FF0000"/>
          <w:w w:val="105"/>
        </w:rPr>
        <w:t>: T</w:t>
      </w:r>
      <w:r w:rsidRPr="00427F95">
        <w:rPr>
          <w:color w:val="231F20"/>
          <w:w w:val="105"/>
          <w:lang w:val="id-ID"/>
        </w:rPr>
        <w:t xml:space="preserve">he quality offered must meet or </w:t>
      </w:r>
      <w:r w:rsidR="00664E67">
        <w:rPr>
          <w:color w:val="FF0000"/>
          <w:w w:val="105"/>
        </w:rPr>
        <w:t xml:space="preserve">be </w:t>
      </w:r>
      <w:r w:rsidRPr="00427F95">
        <w:rPr>
          <w:color w:val="231F20"/>
          <w:w w:val="105"/>
          <w:lang w:val="id-ID"/>
        </w:rPr>
        <w:t>in accordance with consumer tastes.</w:t>
      </w:r>
    </w:p>
    <w:p w:rsidR="00FC38A2" w:rsidRPr="00427F95" w:rsidRDefault="00427F95" w:rsidP="00427F95">
      <w:pPr>
        <w:pStyle w:val="BodyText"/>
        <w:numPr>
          <w:ilvl w:val="0"/>
          <w:numId w:val="9"/>
        </w:numPr>
        <w:spacing w:before="1" w:line="283" w:lineRule="auto"/>
        <w:ind w:left="284" w:right="87" w:hanging="142"/>
        <w:jc w:val="both"/>
        <w:rPr>
          <w:color w:val="231F20"/>
          <w:w w:val="105"/>
          <w:lang w:val="id-ID"/>
        </w:rPr>
      </w:pPr>
      <w:r w:rsidRPr="00664E67">
        <w:rPr>
          <w:strike/>
          <w:color w:val="FF0000"/>
          <w:w w:val="105"/>
          <w:lang w:val="id-ID"/>
        </w:rPr>
        <w:t>The</w:t>
      </w:r>
      <w:r w:rsidRPr="00427F95">
        <w:rPr>
          <w:color w:val="231F20"/>
          <w:w w:val="105"/>
          <w:lang w:val="id-ID"/>
        </w:rPr>
        <w:t xml:space="preserve"> </w:t>
      </w:r>
      <w:r w:rsidR="00664E67">
        <w:rPr>
          <w:color w:val="FF0000"/>
          <w:w w:val="105"/>
        </w:rPr>
        <w:t>T</w:t>
      </w:r>
      <w:r w:rsidRPr="00427F95">
        <w:rPr>
          <w:color w:val="231F20"/>
          <w:w w:val="105"/>
          <w:lang w:val="id-ID"/>
        </w:rPr>
        <w:t>ime of delivery</w:t>
      </w:r>
      <w:r w:rsidRPr="00664E67">
        <w:rPr>
          <w:strike/>
          <w:color w:val="FF0000"/>
          <w:w w:val="105"/>
          <w:lang w:val="id-ID"/>
        </w:rPr>
        <w:t xml:space="preserve">, </w:t>
      </w:r>
      <w:r w:rsidR="00664E67">
        <w:rPr>
          <w:color w:val="FF0000"/>
          <w:w w:val="105"/>
        </w:rPr>
        <w:t xml:space="preserve">:  This </w:t>
      </w:r>
      <w:r w:rsidRPr="00427F95">
        <w:rPr>
          <w:color w:val="231F20"/>
          <w:w w:val="105"/>
          <w:lang w:val="id-ID"/>
        </w:rPr>
        <w:t>must be in accordance with the situation and market conditions in the destination country. Delay in shipping and delivery of goods</w:t>
      </w:r>
      <w:r w:rsidRPr="00664E67">
        <w:rPr>
          <w:strike/>
          <w:color w:val="FF0000"/>
          <w:w w:val="105"/>
          <w:lang w:val="id-ID"/>
        </w:rPr>
        <w:t xml:space="preserve">, </w:t>
      </w:r>
      <w:r w:rsidRPr="00427F95">
        <w:rPr>
          <w:color w:val="231F20"/>
          <w:w w:val="105"/>
          <w:lang w:val="id-ID"/>
        </w:rPr>
        <w:t xml:space="preserve">can be fatal because it </w:t>
      </w:r>
      <w:r w:rsidRPr="00664E67">
        <w:rPr>
          <w:color w:val="231F20"/>
          <w:w w:val="105"/>
          <w:highlight w:val="yellow"/>
          <w:lang w:val="id-ID"/>
        </w:rPr>
        <w:t>allows</w:t>
      </w:r>
      <w:r w:rsidR="00664E67">
        <w:rPr>
          <w:color w:val="FF0000"/>
          <w:w w:val="105"/>
        </w:rPr>
        <w:t>—means?</w:t>
      </w:r>
      <w:r w:rsidRPr="00427F95">
        <w:rPr>
          <w:color w:val="231F20"/>
          <w:w w:val="105"/>
          <w:lang w:val="id-ID"/>
        </w:rPr>
        <w:t xml:space="preserve"> the product is no longer marketed, so that it can reduce the appetite and demand for the product.</w:t>
      </w:r>
    </w:p>
    <w:p w:rsidR="00FC38A2" w:rsidRPr="00FC38A2" w:rsidRDefault="00FC38A2" w:rsidP="00FC38A2">
      <w:pPr>
        <w:pStyle w:val="BodyText"/>
        <w:spacing w:before="1" w:line="283" w:lineRule="auto"/>
        <w:ind w:left="130" w:right="87" w:firstLine="170"/>
        <w:jc w:val="both"/>
        <w:rPr>
          <w:lang w:val="id-ID"/>
        </w:rPr>
      </w:pPr>
    </w:p>
    <w:p w:rsidR="005B788C" w:rsidRDefault="005B788C">
      <w:pPr>
        <w:pStyle w:val="BodyText"/>
        <w:spacing w:before="7" w:line="283" w:lineRule="auto"/>
        <w:ind w:left="130" w:right="41"/>
        <w:jc w:val="both"/>
        <w:rPr>
          <w:color w:val="231F20"/>
          <w:w w:val="105"/>
          <w:lang w:val="id-ID"/>
        </w:rPr>
      </w:pPr>
    </w:p>
    <w:p w:rsidR="00427F95" w:rsidRDefault="00427F95">
      <w:pPr>
        <w:pStyle w:val="BodyText"/>
        <w:spacing w:before="7" w:line="283" w:lineRule="auto"/>
        <w:ind w:left="130" w:right="41"/>
        <w:jc w:val="both"/>
        <w:rPr>
          <w:color w:val="231F20"/>
          <w:w w:val="105"/>
          <w:lang w:val="id-ID"/>
        </w:rPr>
      </w:pPr>
    </w:p>
    <w:p w:rsidR="00427F95" w:rsidRDefault="00427F95">
      <w:pPr>
        <w:pStyle w:val="BodyText"/>
        <w:spacing w:before="7" w:line="283" w:lineRule="auto"/>
        <w:ind w:left="130" w:right="41"/>
        <w:jc w:val="both"/>
        <w:rPr>
          <w:color w:val="231F20"/>
          <w:w w:val="105"/>
          <w:lang w:val="id-ID"/>
        </w:rPr>
      </w:pPr>
    </w:p>
    <w:p w:rsidR="00427F95" w:rsidRDefault="00427F95" w:rsidP="00427F95">
      <w:pPr>
        <w:pStyle w:val="Heading1"/>
        <w:numPr>
          <w:ilvl w:val="0"/>
          <w:numId w:val="5"/>
        </w:numPr>
        <w:tabs>
          <w:tab w:val="left" w:pos="391"/>
        </w:tabs>
      </w:pPr>
      <w:r>
        <w:rPr>
          <w:color w:val="231F20"/>
        </w:rPr>
        <w:t>Conclu</w:t>
      </w:r>
      <w:r>
        <w:rPr>
          <w:color w:val="231F20"/>
          <w:lang w:val="id-ID"/>
        </w:rPr>
        <w:t>ding Remarks</w:t>
      </w:r>
    </w:p>
    <w:p w:rsidR="00427F95" w:rsidRDefault="00427F95" w:rsidP="00427F95">
      <w:pPr>
        <w:pStyle w:val="BodyText"/>
        <w:spacing w:before="7"/>
        <w:rPr>
          <w:b/>
          <w:sz w:val="20"/>
        </w:rPr>
      </w:pPr>
    </w:p>
    <w:p w:rsidR="00B35189" w:rsidRPr="00B35189" w:rsidRDefault="00B35189" w:rsidP="00B35189">
      <w:pPr>
        <w:pStyle w:val="BodyText"/>
        <w:spacing w:before="2" w:line="283" w:lineRule="auto"/>
        <w:ind w:left="130" w:right="38" w:firstLine="170"/>
        <w:jc w:val="both"/>
        <w:rPr>
          <w:color w:val="231F20"/>
          <w:w w:val="105"/>
          <w:lang w:val="id-ID"/>
        </w:rPr>
      </w:pPr>
      <w:r w:rsidRPr="00B35189">
        <w:rPr>
          <w:color w:val="231F20"/>
          <w:w w:val="105"/>
          <w:lang w:val="id-ID"/>
        </w:rPr>
        <w:t xml:space="preserve">Leading sector results based on LQ Analysis in Malinau </w:t>
      </w:r>
      <w:r>
        <w:rPr>
          <w:color w:val="231F20"/>
          <w:w w:val="105"/>
          <w:lang w:val="id-ID"/>
        </w:rPr>
        <w:t>Regency</w:t>
      </w:r>
      <w:r w:rsidR="009D2AC7">
        <w:rPr>
          <w:color w:val="231F20"/>
          <w:w w:val="105"/>
          <w:lang w:val="id-ID"/>
        </w:rPr>
        <w:t xml:space="preserve"> are known to have six sectors, i.e</w:t>
      </w:r>
      <w:r w:rsidR="009D2AC7" w:rsidRPr="00C45D39">
        <w:rPr>
          <w:strike/>
          <w:color w:val="FF0000"/>
          <w:w w:val="105"/>
          <w:lang w:val="id-ID"/>
        </w:rPr>
        <w:t xml:space="preserve">: </w:t>
      </w:r>
      <w:r w:rsidR="00C45D39">
        <w:rPr>
          <w:color w:val="FF0000"/>
          <w:w w:val="105"/>
        </w:rPr>
        <w:t xml:space="preserve">, </w:t>
      </w:r>
      <w:r w:rsidR="009D2AC7">
        <w:rPr>
          <w:color w:val="231F20"/>
          <w:w w:val="105"/>
          <w:lang w:val="id-ID"/>
        </w:rPr>
        <w:t>agriculture, electricity, gas and drinking water,</w:t>
      </w:r>
      <w:r w:rsidRPr="00B35189">
        <w:rPr>
          <w:color w:val="231F20"/>
          <w:w w:val="105"/>
          <w:lang w:val="id-ID"/>
        </w:rPr>
        <w:t xml:space="preserve"> bui</w:t>
      </w:r>
      <w:r w:rsidR="009D2AC7">
        <w:rPr>
          <w:color w:val="231F20"/>
          <w:w w:val="105"/>
          <w:lang w:val="id-ID"/>
        </w:rPr>
        <w:t>lding and construction, trading, hotel and restaurant,</w:t>
      </w:r>
      <w:r w:rsidRPr="00B35189">
        <w:rPr>
          <w:color w:val="231F20"/>
          <w:w w:val="105"/>
          <w:lang w:val="id-ID"/>
        </w:rPr>
        <w:t xml:space="preserve"> and </w:t>
      </w:r>
      <w:r w:rsidRPr="00C45D39">
        <w:rPr>
          <w:strike/>
          <w:color w:val="FF0000"/>
          <w:w w:val="105"/>
          <w:lang w:val="id-ID"/>
        </w:rPr>
        <w:t>followed by the</w:t>
      </w:r>
      <w:r w:rsidRPr="00C45D39">
        <w:rPr>
          <w:color w:val="FF0000"/>
          <w:w w:val="105"/>
          <w:lang w:val="id-ID"/>
        </w:rPr>
        <w:t xml:space="preserve"> </w:t>
      </w:r>
      <w:r w:rsidRPr="00B35189">
        <w:rPr>
          <w:color w:val="231F20"/>
          <w:w w:val="105"/>
          <w:lang w:val="id-ID"/>
        </w:rPr>
        <w:t xml:space="preserve">services </w:t>
      </w:r>
      <w:r w:rsidRPr="00C45D39">
        <w:rPr>
          <w:strike/>
          <w:color w:val="FF0000"/>
          <w:w w:val="105"/>
          <w:lang w:val="id-ID"/>
        </w:rPr>
        <w:t>sector</w:t>
      </w:r>
      <w:r w:rsidRPr="00B35189">
        <w:rPr>
          <w:color w:val="231F20"/>
          <w:w w:val="105"/>
          <w:lang w:val="id-ID"/>
        </w:rPr>
        <w:t>.</w:t>
      </w:r>
    </w:p>
    <w:p w:rsidR="00B35189" w:rsidRPr="00B35189" w:rsidRDefault="00B35189" w:rsidP="00B35189">
      <w:pPr>
        <w:pStyle w:val="BodyText"/>
        <w:spacing w:before="2" w:line="283" w:lineRule="auto"/>
        <w:ind w:left="130" w:right="38" w:firstLine="170"/>
        <w:jc w:val="both"/>
        <w:rPr>
          <w:color w:val="231F20"/>
          <w:w w:val="105"/>
          <w:lang w:val="id-ID"/>
        </w:rPr>
      </w:pPr>
      <w:r w:rsidRPr="00B35189">
        <w:rPr>
          <w:color w:val="231F20"/>
          <w:w w:val="105"/>
          <w:lang w:val="id-ID"/>
        </w:rPr>
        <w:t xml:space="preserve">The result of a shift in the structure of the economy based on the classified SSA has been a change in the economic structure in Malinau </w:t>
      </w:r>
      <w:r>
        <w:rPr>
          <w:color w:val="231F20"/>
          <w:w w:val="105"/>
          <w:lang w:val="id-ID"/>
        </w:rPr>
        <w:t>Regency</w:t>
      </w:r>
      <w:r w:rsidRPr="00B35189">
        <w:rPr>
          <w:color w:val="231F20"/>
          <w:w w:val="105"/>
          <w:lang w:val="id-ID"/>
        </w:rPr>
        <w:t xml:space="preserve"> from the secondary to the tertiary and primary sectors in 10 years where the mining and quarrying sector penetrated the most dominant percentage </w:t>
      </w:r>
      <w:r w:rsidR="00C45D39">
        <w:rPr>
          <w:color w:val="FF0000"/>
          <w:w w:val="105"/>
        </w:rPr>
        <w:t xml:space="preserve">as </w:t>
      </w:r>
      <w:r w:rsidRPr="00B35189">
        <w:rPr>
          <w:color w:val="231F20"/>
          <w:w w:val="105"/>
          <w:lang w:val="id-ID"/>
        </w:rPr>
        <w:t>compared to others reaching 56.62%.</w:t>
      </w:r>
    </w:p>
    <w:p w:rsidR="00B35189" w:rsidRDefault="00B35189" w:rsidP="00B35189">
      <w:pPr>
        <w:pStyle w:val="BodyText"/>
        <w:spacing w:before="2" w:line="283" w:lineRule="auto"/>
        <w:ind w:left="130" w:right="38" w:firstLine="170"/>
        <w:jc w:val="both"/>
        <w:rPr>
          <w:color w:val="231F20"/>
          <w:w w:val="105"/>
          <w:lang w:val="id-ID"/>
        </w:rPr>
      </w:pPr>
      <w:r w:rsidRPr="00B35189">
        <w:rPr>
          <w:color w:val="231F20"/>
          <w:w w:val="105"/>
          <w:lang w:val="id-ID"/>
        </w:rPr>
        <w:t>The results of the competitiveness of export commodities in the Malinau Regency are based on the RCA. It is known that the three commodities from the agricultural sector (oil palm, rubber</w:t>
      </w:r>
      <w:r w:rsidR="009D2AC7">
        <w:rPr>
          <w:color w:val="231F20"/>
          <w:w w:val="105"/>
          <w:lang w:val="id-ID"/>
        </w:rPr>
        <w:t>,</w:t>
      </w:r>
      <w:r w:rsidRPr="00B35189">
        <w:rPr>
          <w:color w:val="231F20"/>
          <w:w w:val="105"/>
          <w:lang w:val="id-ID"/>
        </w:rPr>
        <w:t xml:space="preserve"> and</w:t>
      </w:r>
      <w:r w:rsidR="009D2AC7">
        <w:rPr>
          <w:color w:val="231F20"/>
          <w:w w:val="105"/>
          <w:lang w:val="id-ID"/>
        </w:rPr>
        <w:t xml:space="preserve"> wooden</w:t>
      </w:r>
      <w:r w:rsidRPr="00B35189">
        <w:rPr>
          <w:color w:val="231F20"/>
          <w:w w:val="105"/>
          <w:lang w:val="id-ID"/>
        </w:rPr>
        <w:t xml:space="preserve"> logs) do not have a comparative advantage. </w:t>
      </w:r>
      <w:r w:rsidRPr="00C45D39">
        <w:rPr>
          <w:color w:val="231F20"/>
          <w:w w:val="105"/>
          <w:highlight w:val="yellow"/>
          <w:lang w:val="id-ID"/>
        </w:rPr>
        <w:t>While</w:t>
      </w:r>
      <w:r w:rsidRPr="00C45D39">
        <w:rPr>
          <w:strike/>
          <w:color w:val="FF0000"/>
          <w:w w:val="105"/>
          <w:highlight w:val="yellow"/>
          <w:lang w:val="id-ID"/>
        </w:rPr>
        <w:t xml:space="preserve">. </w:t>
      </w:r>
      <w:r w:rsidRPr="00C45D39">
        <w:rPr>
          <w:color w:val="231F20"/>
          <w:w w:val="105"/>
          <w:highlight w:val="yellow"/>
          <w:lang w:val="id-ID"/>
        </w:rPr>
        <w:t>the mining and quarrying sector shows that coal and quarrying or quarrying export products (types A, B, C) are proven to have a comparative advantage higher than the comparative advantage of the same commodity exports at the level of North Kalimantan Province</w:t>
      </w:r>
      <w:r w:rsidR="00C45D39">
        <w:rPr>
          <w:color w:val="FF0000"/>
          <w:w w:val="105"/>
        </w:rPr>
        <w:t>-- rephrase</w:t>
      </w:r>
      <w:r w:rsidRPr="00B35189">
        <w:rPr>
          <w:color w:val="231F20"/>
          <w:w w:val="105"/>
          <w:lang w:val="id-ID"/>
        </w:rPr>
        <w:t>.</w:t>
      </w:r>
    </w:p>
    <w:p w:rsidR="00B35189" w:rsidRDefault="00A2380D" w:rsidP="00B35189">
      <w:pPr>
        <w:pStyle w:val="BodyText"/>
        <w:spacing w:before="2" w:line="283" w:lineRule="auto"/>
        <w:ind w:left="130" w:right="38" w:firstLine="170"/>
        <w:jc w:val="both"/>
        <w:rPr>
          <w:color w:val="231F20"/>
          <w:w w:val="105"/>
          <w:lang w:val="id-ID"/>
        </w:rPr>
      </w:pPr>
      <w:r w:rsidRPr="00A2380D">
        <w:rPr>
          <w:color w:val="231F20"/>
          <w:w w:val="105"/>
          <w:lang w:val="id-ID"/>
        </w:rPr>
        <w:t>Analysis of economic growth in Malinau Regency after regional autonomy</w:t>
      </w:r>
      <w:r w:rsidRPr="00C45D39">
        <w:rPr>
          <w:strike/>
          <w:color w:val="FF0000"/>
          <w:w w:val="105"/>
          <w:lang w:val="id-ID"/>
        </w:rPr>
        <w:t xml:space="preserve">. </w:t>
      </w:r>
      <w:r w:rsidRPr="00A2380D">
        <w:rPr>
          <w:color w:val="231F20"/>
          <w:w w:val="105"/>
          <w:lang w:val="id-ID"/>
        </w:rPr>
        <w:t xml:space="preserve">shows that there has been a shift in the economic structure of the economy which is dominated by the structure of the primary sector. </w:t>
      </w:r>
      <w:r w:rsidRPr="003626DD">
        <w:rPr>
          <w:color w:val="231F20"/>
          <w:w w:val="105"/>
          <w:highlight w:val="yellow"/>
          <w:lang w:val="id-ID"/>
        </w:rPr>
        <w:t>Not yet optimal and its dependence</w:t>
      </w:r>
      <w:r w:rsidR="003626DD">
        <w:rPr>
          <w:color w:val="FF0000"/>
          <w:w w:val="105"/>
        </w:rPr>
        <w:t>--rephrase</w:t>
      </w:r>
      <w:r w:rsidRPr="00A2380D">
        <w:rPr>
          <w:color w:val="231F20"/>
          <w:w w:val="105"/>
          <w:lang w:val="id-ID"/>
        </w:rPr>
        <w:t xml:space="preserve"> on the structure of the primary economic sector </w:t>
      </w:r>
      <w:r w:rsidRPr="00C45D39">
        <w:rPr>
          <w:strike/>
          <w:color w:val="FF0000"/>
          <w:w w:val="105"/>
          <w:lang w:val="id-ID"/>
        </w:rPr>
        <w:t>is</w:t>
      </w:r>
      <w:r w:rsidRPr="00A2380D">
        <w:rPr>
          <w:color w:val="231F20"/>
          <w:w w:val="105"/>
          <w:lang w:val="id-ID"/>
        </w:rPr>
        <w:t xml:space="preserve"> </w:t>
      </w:r>
      <w:r w:rsidR="00C45D39">
        <w:rPr>
          <w:color w:val="FF0000"/>
          <w:w w:val="105"/>
        </w:rPr>
        <w:t xml:space="preserve">are </w:t>
      </w:r>
      <w:r w:rsidRPr="00A2380D">
        <w:rPr>
          <w:color w:val="231F20"/>
          <w:w w:val="105"/>
          <w:lang w:val="id-ID"/>
        </w:rPr>
        <w:t>the reason</w:t>
      </w:r>
      <w:r w:rsidR="00C45D39">
        <w:rPr>
          <w:color w:val="FF0000"/>
          <w:w w:val="105"/>
        </w:rPr>
        <w:t>s</w:t>
      </w:r>
      <w:r w:rsidRPr="00A2380D">
        <w:rPr>
          <w:color w:val="231F20"/>
          <w:w w:val="105"/>
          <w:lang w:val="id-ID"/>
        </w:rPr>
        <w:t xml:space="preserve"> why Malinau Regency is a developing region. Therefore, natural resource factors need to be managed and maintained properly</w:t>
      </w:r>
      <w:r w:rsidR="00C45D39">
        <w:rPr>
          <w:color w:val="FF0000"/>
          <w:w w:val="105"/>
        </w:rPr>
        <w:t>,</w:t>
      </w:r>
      <w:r w:rsidRPr="00A2380D">
        <w:rPr>
          <w:color w:val="231F20"/>
          <w:w w:val="105"/>
          <w:lang w:val="id-ID"/>
        </w:rPr>
        <w:t xml:space="preserve"> and it is hoped that the development carried out is oriented towards sustainable development, namely</w:t>
      </w:r>
      <w:r w:rsidR="00C45D39">
        <w:rPr>
          <w:color w:val="FF0000"/>
          <w:w w:val="105"/>
        </w:rPr>
        <w:t>,</w:t>
      </w:r>
      <w:r w:rsidRPr="00A2380D">
        <w:rPr>
          <w:color w:val="231F20"/>
          <w:w w:val="105"/>
          <w:lang w:val="id-ID"/>
        </w:rPr>
        <w:t xml:space="preserve"> development that meets the needs of the present generation and without ignoring the interests of future generations in meeting their needs.</w:t>
      </w:r>
    </w:p>
    <w:p w:rsidR="00B35189" w:rsidRDefault="00B35189" w:rsidP="00B35189">
      <w:pPr>
        <w:pStyle w:val="BodyText"/>
        <w:spacing w:before="2" w:line="283" w:lineRule="auto"/>
        <w:ind w:left="130" w:right="38" w:firstLine="170"/>
        <w:jc w:val="both"/>
        <w:rPr>
          <w:color w:val="231F20"/>
          <w:w w:val="105"/>
          <w:lang w:val="id-ID"/>
        </w:rPr>
      </w:pPr>
    </w:p>
    <w:p w:rsidR="00B35189" w:rsidRDefault="00B35189" w:rsidP="00B35189">
      <w:pPr>
        <w:pStyle w:val="BodyText"/>
        <w:spacing w:before="2" w:line="283" w:lineRule="auto"/>
        <w:ind w:left="130" w:right="38" w:firstLine="170"/>
        <w:jc w:val="both"/>
        <w:rPr>
          <w:color w:val="231F20"/>
          <w:w w:val="105"/>
          <w:lang w:val="id-ID"/>
        </w:rPr>
      </w:pPr>
    </w:p>
    <w:p w:rsidR="00A2380D" w:rsidRDefault="00A2380D" w:rsidP="00A2380D">
      <w:pPr>
        <w:pStyle w:val="Heading1"/>
        <w:numPr>
          <w:ilvl w:val="0"/>
          <w:numId w:val="5"/>
        </w:numPr>
        <w:tabs>
          <w:tab w:val="left" w:pos="391"/>
        </w:tabs>
        <w:spacing w:before="6"/>
      </w:pPr>
      <w:r>
        <w:rPr>
          <w:color w:val="231F20"/>
          <w:lang w:val="id-ID"/>
        </w:rPr>
        <w:t>Novelty</w:t>
      </w:r>
      <w:r w:rsidR="003626DD">
        <w:rPr>
          <w:color w:val="FF0000"/>
        </w:rPr>
        <w:t>--??</w:t>
      </w:r>
    </w:p>
    <w:p w:rsidR="00A2380D" w:rsidRDefault="00A2380D" w:rsidP="00A2380D">
      <w:pPr>
        <w:pStyle w:val="BodyText"/>
        <w:spacing w:before="7"/>
        <w:rPr>
          <w:b/>
          <w:sz w:val="20"/>
        </w:rPr>
      </w:pPr>
    </w:p>
    <w:p w:rsidR="00A2380D" w:rsidRPr="009F2784" w:rsidRDefault="00A75E42" w:rsidP="00A2380D">
      <w:pPr>
        <w:pStyle w:val="BodyText"/>
        <w:spacing w:before="2" w:line="283" w:lineRule="auto"/>
        <w:ind w:left="130" w:right="38" w:firstLine="170"/>
        <w:jc w:val="both"/>
        <w:rPr>
          <w:color w:val="FF0000"/>
          <w:w w:val="105"/>
        </w:rPr>
      </w:pPr>
      <w:r w:rsidRPr="00A75E42">
        <w:rPr>
          <w:color w:val="231F20"/>
          <w:w w:val="105"/>
          <w:lang w:val="id-ID"/>
        </w:rPr>
        <w:t xml:space="preserve">There has never been a similar study or previous </w:t>
      </w:r>
      <w:r w:rsidR="00792286">
        <w:rPr>
          <w:color w:val="231F20"/>
          <w:w w:val="105"/>
          <w:lang w:val="id-ID"/>
        </w:rPr>
        <w:t>research with the same time series</w:t>
      </w:r>
      <w:r w:rsidRPr="00A75E42">
        <w:rPr>
          <w:color w:val="231F20"/>
          <w:w w:val="105"/>
          <w:lang w:val="id-ID"/>
        </w:rPr>
        <w:t xml:space="preserve">, object, and analytical tool as this research. </w:t>
      </w:r>
      <w:r w:rsidRPr="009F2784">
        <w:rPr>
          <w:color w:val="231F20"/>
          <w:w w:val="105"/>
          <w:highlight w:val="yellow"/>
          <w:lang w:val="id-ID"/>
        </w:rPr>
        <w:t>This study is very interesting for the future and a comparison that compares the leading sectors, competitiveness of export commodities, and shifts in economic structure.</w:t>
      </w:r>
      <w:r w:rsidR="009F2784">
        <w:rPr>
          <w:color w:val="FF0000"/>
          <w:w w:val="105"/>
        </w:rPr>
        <w:t>-- rephrase</w:t>
      </w:r>
      <w:r w:rsidRPr="00A75E42">
        <w:rPr>
          <w:color w:val="231F20"/>
          <w:w w:val="105"/>
          <w:lang w:val="id-ID"/>
        </w:rPr>
        <w:t xml:space="preserve"> The scope is very focused on 1 region, so academics, government, and investors can adopt policies that are incorporated in </w:t>
      </w:r>
      <w:r w:rsidRPr="00DA5CE7">
        <w:rPr>
          <w:color w:val="231F20"/>
          <w:w w:val="105"/>
          <w:lang w:val="id-ID"/>
        </w:rPr>
        <w:t>Penta Helix</w:t>
      </w:r>
      <w:r w:rsidRPr="00A75E42">
        <w:rPr>
          <w:color w:val="231F20"/>
          <w:w w:val="105"/>
          <w:lang w:val="id-ID"/>
        </w:rPr>
        <w:t>.</w:t>
      </w:r>
      <w:r w:rsidR="009F2784">
        <w:rPr>
          <w:color w:val="FF0000"/>
          <w:w w:val="105"/>
        </w:rPr>
        <w:t>--??</w:t>
      </w:r>
    </w:p>
    <w:p w:rsidR="00083647" w:rsidRDefault="00083647" w:rsidP="00083647">
      <w:pPr>
        <w:spacing w:line="285" w:lineRule="auto"/>
        <w:ind w:right="268"/>
        <w:jc w:val="both"/>
        <w:rPr>
          <w:color w:val="231F20"/>
          <w:spacing w:val="-1"/>
          <w:w w:val="101"/>
          <w:lang w:val="id-ID"/>
        </w:rPr>
      </w:pPr>
    </w:p>
    <w:p w:rsidR="00083647" w:rsidRDefault="00083647" w:rsidP="00083647">
      <w:pPr>
        <w:pStyle w:val="Heading1"/>
        <w:spacing w:before="99"/>
        <w:ind w:left="130" w:firstLine="0"/>
      </w:pPr>
      <w:r>
        <w:rPr>
          <w:color w:val="231F20"/>
        </w:rPr>
        <w:t>References</w:t>
      </w:r>
    </w:p>
    <w:p w:rsidR="00083647" w:rsidRDefault="00083647" w:rsidP="00083647">
      <w:pPr>
        <w:pStyle w:val="BodyText"/>
        <w:spacing w:before="10"/>
        <w:rPr>
          <w:b/>
          <w:sz w:val="23"/>
        </w:rPr>
      </w:pPr>
    </w:p>
    <w:p w:rsidR="008D0B7C" w:rsidRDefault="008D0B7C" w:rsidP="00083647">
      <w:pPr>
        <w:spacing w:line="285" w:lineRule="auto"/>
        <w:ind w:left="301" w:right="268" w:hanging="171"/>
        <w:jc w:val="both"/>
        <w:rPr>
          <w:color w:val="231F20"/>
          <w:w w:val="105"/>
          <w:sz w:val="17"/>
          <w:lang w:val="id-ID"/>
        </w:rPr>
      </w:pPr>
      <w:r w:rsidRPr="008D0B7C">
        <w:rPr>
          <w:color w:val="231F20"/>
          <w:w w:val="105"/>
          <w:sz w:val="17"/>
          <w:lang w:val="id-ID"/>
        </w:rPr>
        <w:t>Amir, M.</w:t>
      </w:r>
      <w:r>
        <w:rPr>
          <w:color w:val="231F20"/>
          <w:w w:val="105"/>
          <w:sz w:val="17"/>
          <w:lang w:val="id-ID"/>
        </w:rPr>
        <w:t xml:space="preserve"> </w:t>
      </w:r>
      <w:r w:rsidRPr="008D0B7C">
        <w:rPr>
          <w:color w:val="231F20"/>
          <w:w w:val="105"/>
          <w:sz w:val="17"/>
          <w:lang w:val="id-ID"/>
        </w:rPr>
        <w:t xml:space="preserve">S. </w:t>
      </w:r>
      <w:r>
        <w:rPr>
          <w:color w:val="231F20"/>
          <w:w w:val="105"/>
          <w:sz w:val="17"/>
          <w:lang w:val="id-ID"/>
        </w:rPr>
        <w:t>(</w:t>
      </w:r>
      <w:r w:rsidRPr="008D0B7C">
        <w:rPr>
          <w:color w:val="231F20"/>
          <w:w w:val="105"/>
          <w:sz w:val="17"/>
          <w:lang w:val="id-ID"/>
        </w:rPr>
        <w:t>2003</w:t>
      </w:r>
      <w:r>
        <w:rPr>
          <w:color w:val="231F20"/>
          <w:w w:val="105"/>
          <w:sz w:val="17"/>
          <w:lang w:val="id-ID"/>
        </w:rPr>
        <w:t xml:space="preserve">). </w:t>
      </w:r>
      <w:r w:rsidRPr="008D0B7C">
        <w:rPr>
          <w:i/>
          <w:color w:val="231F20"/>
          <w:w w:val="105"/>
          <w:sz w:val="17"/>
          <w:lang w:val="id-ID"/>
        </w:rPr>
        <w:t>Ekspor Impor, Teori dan Penerapannya</w:t>
      </w:r>
      <w:r w:rsidRPr="008D0B7C">
        <w:rPr>
          <w:color w:val="231F20"/>
          <w:w w:val="105"/>
          <w:sz w:val="17"/>
          <w:lang w:val="id-ID"/>
        </w:rPr>
        <w:t>. Seri Bisnis Internasional No.</w:t>
      </w:r>
      <w:r>
        <w:rPr>
          <w:color w:val="231F20"/>
          <w:w w:val="105"/>
          <w:sz w:val="17"/>
          <w:lang w:val="id-ID"/>
        </w:rPr>
        <w:t xml:space="preserve"> </w:t>
      </w:r>
      <w:r w:rsidRPr="008D0B7C">
        <w:rPr>
          <w:color w:val="231F20"/>
          <w:w w:val="105"/>
          <w:sz w:val="17"/>
          <w:lang w:val="id-ID"/>
        </w:rPr>
        <w:t xml:space="preserve">13. </w:t>
      </w:r>
      <w:r>
        <w:rPr>
          <w:color w:val="231F20"/>
          <w:w w:val="105"/>
          <w:sz w:val="17"/>
          <w:lang w:val="id-ID"/>
        </w:rPr>
        <w:t xml:space="preserve">Jakarta: </w:t>
      </w:r>
      <w:r w:rsidR="00087131" w:rsidRPr="00087131">
        <w:rPr>
          <w:color w:val="231F20"/>
          <w:w w:val="105"/>
          <w:sz w:val="17"/>
          <w:lang w:val="id-ID"/>
        </w:rPr>
        <w:t xml:space="preserve">Pustaka Binaman Pressindo </w:t>
      </w:r>
      <w:r w:rsidR="00087131">
        <w:rPr>
          <w:color w:val="231F20"/>
          <w:w w:val="105"/>
          <w:sz w:val="17"/>
          <w:lang w:val="id-ID"/>
        </w:rPr>
        <w:t>(</w:t>
      </w:r>
      <w:r>
        <w:rPr>
          <w:color w:val="231F20"/>
          <w:w w:val="105"/>
          <w:sz w:val="17"/>
          <w:lang w:val="id-ID"/>
        </w:rPr>
        <w:t>PPM</w:t>
      </w:r>
      <w:r w:rsidR="00087131">
        <w:rPr>
          <w:color w:val="231F20"/>
          <w:w w:val="105"/>
          <w:sz w:val="17"/>
          <w:lang w:val="id-ID"/>
        </w:rPr>
        <w:t>)</w:t>
      </w:r>
      <w:r>
        <w:rPr>
          <w:color w:val="231F20"/>
          <w:w w:val="105"/>
          <w:sz w:val="17"/>
          <w:lang w:val="id-ID"/>
        </w:rPr>
        <w:t>.</w:t>
      </w:r>
    </w:p>
    <w:p w:rsidR="008D0B7C" w:rsidRDefault="008D0B7C" w:rsidP="00083647">
      <w:pPr>
        <w:spacing w:line="285" w:lineRule="auto"/>
        <w:ind w:left="301" w:right="268" w:hanging="171"/>
        <w:jc w:val="both"/>
        <w:rPr>
          <w:color w:val="231F20"/>
          <w:w w:val="105"/>
          <w:sz w:val="17"/>
          <w:lang w:val="id-ID"/>
        </w:rPr>
      </w:pPr>
    </w:p>
    <w:p w:rsidR="008D0B7C" w:rsidRDefault="008D0B7C" w:rsidP="00083647">
      <w:pPr>
        <w:spacing w:line="285" w:lineRule="auto"/>
        <w:ind w:left="301" w:right="268" w:hanging="171"/>
        <w:jc w:val="both"/>
        <w:rPr>
          <w:color w:val="231F20"/>
          <w:w w:val="105"/>
          <w:sz w:val="17"/>
          <w:lang w:val="id-ID"/>
        </w:rPr>
      </w:pPr>
    </w:p>
    <w:p w:rsidR="008D0B7C" w:rsidRDefault="008D0B7C" w:rsidP="00083647">
      <w:pPr>
        <w:spacing w:line="285" w:lineRule="auto"/>
        <w:ind w:left="301" w:right="268" w:hanging="171"/>
        <w:jc w:val="both"/>
        <w:rPr>
          <w:color w:val="231F20"/>
          <w:w w:val="105"/>
          <w:sz w:val="17"/>
          <w:lang w:val="id-ID"/>
        </w:rPr>
      </w:pPr>
    </w:p>
    <w:p w:rsidR="008D0B7C" w:rsidRDefault="008D0B7C" w:rsidP="00083647">
      <w:pPr>
        <w:spacing w:line="285" w:lineRule="auto"/>
        <w:ind w:left="301" w:right="268" w:hanging="171"/>
        <w:jc w:val="both"/>
        <w:rPr>
          <w:color w:val="231F20"/>
          <w:w w:val="105"/>
          <w:sz w:val="17"/>
          <w:lang w:val="id-ID"/>
        </w:rPr>
      </w:pPr>
    </w:p>
    <w:p w:rsidR="00083647" w:rsidRDefault="00083647" w:rsidP="00083647">
      <w:pPr>
        <w:spacing w:line="285" w:lineRule="auto"/>
        <w:ind w:left="301" w:right="268" w:hanging="171"/>
        <w:jc w:val="both"/>
        <w:rPr>
          <w:color w:val="231F20"/>
          <w:w w:val="105"/>
          <w:sz w:val="17"/>
          <w:lang w:val="id-ID"/>
        </w:rPr>
      </w:pPr>
      <w:r w:rsidRPr="0064523C">
        <w:rPr>
          <w:color w:val="231F20"/>
          <w:w w:val="105"/>
          <w:sz w:val="17"/>
          <w:lang w:val="id-ID"/>
        </w:rPr>
        <w:t xml:space="preserve">Anonymous. (1999). </w:t>
      </w:r>
      <w:r w:rsidRPr="0064523C">
        <w:rPr>
          <w:i/>
          <w:color w:val="231F20"/>
          <w:w w:val="105"/>
          <w:sz w:val="17"/>
          <w:lang w:val="id-ID"/>
        </w:rPr>
        <w:t>Law of the Republic of Indonesia Number: 22 of 1999 concerning Regional Autonomy</w:t>
      </w:r>
      <w:r w:rsidRPr="0064523C">
        <w:rPr>
          <w:color w:val="231F20"/>
          <w:w w:val="105"/>
          <w:sz w:val="17"/>
          <w:lang w:val="id-ID"/>
        </w:rPr>
        <w:t>. Jakarta</w:t>
      </w:r>
      <w:r>
        <w:rPr>
          <w:color w:val="231F20"/>
          <w:w w:val="105"/>
          <w:sz w:val="17"/>
          <w:lang w:val="id-ID"/>
        </w:rPr>
        <w:t>.</w:t>
      </w:r>
    </w:p>
    <w:p w:rsidR="008D0B7C" w:rsidRDefault="008D0B7C" w:rsidP="008D0B7C">
      <w:pPr>
        <w:spacing w:line="285" w:lineRule="auto"/>
        <w:ind w:left="284" w:right="268" w:hanging="142"/>
        <w:jc w:val="both"/>
        <w:rPr>
          <w:color w:val="231F20"/>
          <w:w w:val="105"/>
          <w:sz w:val="17"/>
          <w:lang w:val="id-ID"/>
        </w:rPr>
      </w:pPr>
      <w:r w:rsidRPr="0064523C">
        <w:rPr>
          <w:color w:val="231F20"/>
          <w:w w:val="105"/>
          <w:sz w:val="17"/>
          <w:lang w:val="id-ID"/>
        </w:rPr>
        <w:t xml:space="preserve">Anonymous. (1999). </w:t>
      </w:r>
      <w:r w:rsidRPr="0064523C">
        <w:rPr>
          <w:i/>
          <w:color w:val="231F20"/>
          <w:w w:val="105"/>
          <w:sz w:val="17"/>
          <w:lang w:val="id-ID"/>
        </w:rPr>
        <w:t>Law Number: 47 of 1999 concerning the Formation and Division of Malinau Regency</w:t>
      </w:r>
      <w:r w:rsidRPr="0064523C">
        <w:rPr>
          <w:color w:val="231F20"/>
          <w:w w:val="105"/>
          <w:sz w:val="17"/>
          <w:lang w:val="id-ID"/>
        </w:rPr>
        <w:t>. Jakarta.</w:t>
      </w:r>
    </w:p>
    <w:p w:rsidR="008D0B7C" w:rsidRPr="00800F1F" w:rsidRDefault="008D0B7C" w:rsidP="008D0B7C">
      <w:pPr>
        <w:spacing w:line="285" w:lineRule="auto"/>
        <w:ind w:left="301" w:right="268" w:hanging="171"/>
        <w:jc w:val="both"/>
        <w:rPr>
          <w:color w:val="231F20"/>
          <w:w w:val="105"/>
          <w:sz w:val="17"/>
          <w:lang w:val="id-ID"/>
        </w:rPr>
      </w:pPr>
      <w:r>
        <w:rPr>
          <w:color w:val="231F20"/>
          <w:w w:val="105"/>
          <w:sz w:val="17"/>
          <w:lang w:val="id-ID"/>
        </w:rPr>
        <w:t>Arsyad. L</w:t>
      </w:r>
      <w:r w:rsidRPr="00800F1F">
        <w:rPr>
          <w:color w:val="231F20"/>
          <w:w w:val="105"/>
          <w:sz w:val="17"/>
          <w:lang w:val="id-ID"/>
        </w:rPr>
        <w:t xml:space="preserve">. </w:t>
      </w:r>
      <w:r>
        <w:rPr>
          <w:color w:val="231F20"/>
          <w:w w:val="105"/>
          <w:sz w:val="17"/>
          <w:lang w:val="id-ID"/>
        </w:rPr>
        <w:t>(</w:t>
      </w:r>
      <w:r w:rsidRPr="00800F1F">
        <w:rPr>
          <w:color w:val="231F20"/>
          <w:w w:val="105"/>
          <w:sz w:val="17"/>
          <w:lang w:val="id-ID"/>
        </w:rPr>
        <w:t>2010</w:t>
      </w:r>
      <w:r>
        <w:rPr>
          <w:color w:val="231F20"/>
          <w:w w:val="105"/>
          <w:sz w:val="17"/>
          <w:lang w:val="id-ID"/>
        </w:rPr>
        <w:t xml:space="preserve">). </w:t>
      </w:r>
      <w:r w:rsidRPr="00800F1F">
        <w:rPr>
          <w:i/>
          <w:color w:val="231F20"/>
          <w:w w:val="105"/>
          <w:sz w:val="17"/>
          <w:lang w:val="id-ID"/>
        </w:rPr>
        <w:t>Ekonomi Pembangunan, Edisi 5</w:t>
      </w:r>
      <w:r>
        <w:rPr>
          <w:color w:val="231F20"/>
          <w:w w:val="105"/>
          <w:sz w:val="17"/>
          <w:lang w:val="id-ID"/>
        </w:rPr>
        <w:t>. Yogyakarta</w:t>
      </w:r>
      <w:r w:rsidRPr="00800F1F">
        <w:rPr>
          <w:color w:val="231F20"/>
          <w:w w:val="105"/>
          <w:sz w:val="17"/>
          <w:lang w:val="id-ID"/>
        </w:rPr>
        <w:t>: UPP STIM YKPN.</w:t>
      </w:r>
    </w:p>
    <w:p w:rsidR="008D0B7C" w:rsidRDefault="008D0B7C" w:rsidP="008D0B7C">
      <w:pPr>
        <w:spacing w:line="285" w:lineRule="auto"/>
        <w:ind w:left="301" w:right="268" w:hanging="171"/>
        <w:jc w:val="both"/>
        <w:rPr>
          <w:color w:val="231F20"/>
          <w:w w:val="105"/>
          <w:sz w:val="17"/>
          <w:lang w:val="id-ID"/>
        </w:rPr>
      </w:pPr>
      <w:r w:rsidRPr="005114CB">
        <w:rPr>
          <w:color w:val="231F20"/>
          <w:w w:val="105"/>
          <w:sz w:val="17"/>
          <w:lang w:val="id-ID"/>
        </w:rPr>
        <w:t>Barro, R.</w:t>
      </w:r>
      <w:r>
        <w:rPr>
          <w:color w:val="231F20"/>
          <w:w w:val="105"/>
          <w:sz w:val="17"/>
          <w:lang w:val="id-ID"/>
        </w:rPr>
        <w:t xml:space="preserve"> </w:t>
      </w:r>
      <w:r w:rsidRPr="005114CB">
        <w:rPr>
          <w:color w:val="231F20"/>
          <w:w w:val="105"/>
          <w:sz w:val="17"/>
          <w:lang w:val="id-ID"/>
        </w:rPr>
        <w:t xml:space="preserve">J., </w:t>
      </w:r>
      <w:r>
        <w:rPr>
          <w:color w:val="231F20"/>
          <w:w w:val="105"/>
          <w:sz w:val="17"/>
          <w:lang w:val="id-ID"/>
        </w:rPr>
        <w:t xml:space="preserve">&amp; </w:t>
      </w:r>
      <w:r w:rsidRPr="005114CB">
        <w:rPr>
          <w:color w:val="231F20"/>
          <w:w w:val="105"/>
          <w:sz w:val="17"/>
          <w:lang w:val="id-ID"/>
        </w:rPr>
        <w:t>Sala-i-Mart</w:t>
      </w:r>
      <w:r>
        <w:rPr>
          <w:color w:val="231F20"/>
          <w:w w:val="105"/>
          <w:sz w:val="17"/>
          <w:lang w:val="id-ID"/>
        </w:rPr>
        <w:t>in, X. (1992). Convergence.</w:t>
      </w:r>
      <w:r w:rsidRPr="005114CB">
        <w:rPr>
          <w:color w:val="231F20"/>
          <w:w w:val="105"/>
          <w:sz w:val="17"/>
          <w:lang w:val="id-ID"/>
        </w:rPr>
        <w:t xml:space="preserve"> </w:t>
      </w:r>
      <w:r w:rsidRPr="005114CB">
        <w:rPr>
          <w:i/>
          <w:color w:val="231F20"/>
          <w:w w:val="105"/>
          <w:sz w:val="17"/>
          <w:lang w:val="id-ID"/>
        </w:rPr>
        <w:t>Journal of Political Economics, 100</w:t>
      </w:r>
      <w:r>
        <w:rPr>
          <w:color w:val="231F20"/>
          <w:w w:val="105"/>
          <w:sz w:val="17"/>
          <w:lang w:val="id-ID"/>
        </w:rPr>
        <w:t>(</w:t>
      </w:r>
      <w:r w:rsidRPr="005114CB">
        <w:rPr>
          <w:color w:val="231F20"/>
          <w:w w:val="105"/>
          <w:sz w:val="17"/>
          <w:lang w:val="id-ID"/>
        </w:rPr>
        <w:t>2</w:t>
      </w:r>
      <w:r>
        <w:rPr>
          <w:color w:val="231F20"/>
          <w:w w:val="105"/>
          <w:sz w:val="17"/>
          <w:lang w:val="id-ID"/>
        </w:rPr>
        <w:t xml:space="preserve">), </w:t>
      </w:r>
      <w:r w:rsidRPr="005114CB">
        <w:rPr>
          <w:color w:val="231F20"/>
          <w:w w:val="105"/>
          <w:sz w:val="17"/>
          <w:lang w:val="id-ID"/>
        </w:rPr>
        <w:t>223-251</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Pr>
          <w:color w:val="231F20"/>
          <w:w w:val="105"/>
          <w:sz w:val="17"/>
          <w:lang w:val="id-ID"/>
        </w:rPr>
        <w:t xml:space="preserve">Borts, G. H. (1960). </w:t>
      </w:r>
      <w:r w:rsidRPr="00186157">
        <w:rPr>
          <w:color w:val="231F20"/>
          <w:w w:val="105"/>
          <w:sz w:val="17"/>
          <w:lang w:val="id-ID"/>
        </w:rPr>
        <w:t>The Equalization of Returns and Regional Economic Growth</w:t>
      </w:r>
      <w:r>
        <w:rPr>
          <w:color w:val="231F20"/>
          <w:w w:val="105"/>
          <w:sz w:val="17"/>
          <w:lang w:val="id-ID"/>
        </w:rPr>
        <w:t xml:space="preserve">. </w:t>
      </w:r>
      <w:r w:rsidRPr="00186157">
        <w:rPr>
          <w:i/>
          <w:color w:val="231F20"/>
          <w:w w:val="105"/>
          <w:sz w:val="17"/>
          <w:lang w:val="id-ID"/>
        </w:rPr>
        <w:t>The American Economic Review, 50</w:t>
      </w:r>
      <w:r w:rsidRPr="000C4503">
        <w:rPr>
          <w:color w:val="231F20"/>
          <w:w w:val="105"/>
          <w:sz w:val="17"/>
          <w:lang w:val="id-ID"/>
        </w:rPr>
        <w:t>(3),</w:t>
      </w:r>
      <w:r>
        <w:rPr>
          <w:color w:val="231F20"/>
          <w:w w:val="105"/>
          <w:sz w:val="17"/>
          <w:lang w:val="id-ID"/>
        </w:rPr>
        <w:t xml:space="preserve"> </w:t>
      </w:r>
      <w:r w:rsidRPr="00186157">
        <w:rPr>
          <w:color w:val="231F20"/>
          <w:w w:val="105"/>
          <w:sz w:val="17"/>
          <w:lang w:val="id-ID"/>
        </w:rPr>
        <w:t>319-347</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5114CB">
        <w:rPr>
          <w:color w:val="231F20"/>
          <w:w w:val="105"/>
          <w:sz w:val="17"/>
          <w:lang w:val="id-ID"/>
        </w:rPr>
        <w:t>Borts, G.</w:t>
      </w:r>
      <w:r>
        <w:rPr>
          <w:color w:val="231F20"/>
          <w:w w:val="105"/>
          <w:sz w:val="17"/>
          <w:lang w:val="id-ID"/>
        </w:rPr>
        <w:t xml:space="preserve"> H., &amp; </w:t>
      </w:r>
      <w:r w:rsidRPr="005114CB">
        <w:rPr>
          <w:color w:val="231F20"/>
          <w:w w:val="105"/>
          <w:sz w:val="17"/>
          <w:lang w:val="id-ID"/>
        </w:rPr>
        <w:t>Stein, J.</w:t>
      </w:r>
      <w:r>
        <w:rPr>
          <w:color w:val="231F20"/>
          <w:w w:val="105"/>
          <w:sz w:val="17"/>
          <w:lang w:val="id-ID"/>
        </w:rPr>
        <w:t xml:space="preserve"> L. (1964).</w:t>
      </w:r>
      <w:r w:rsidRPr="005114CB">
        <w:rPr>
          <w:color w:val="231F20"/>
          <w:w w:val="105"/>
          <w:sz w:val="17"/>
          <w:lang w:val="id-ID"/>
        </w:rPr>
        <w:t xml:space="preserve"> </w:t>
      </w:r>
      <w:r w:rsidRPr="005114CB">
        <w:rPr>
          <w:i/>
          <w:color w:val="231F20"/>
          <w:w w:val="105"/>
          <w:sz w:val="17"/>
          <w:lang w:val="id-ID"/>
        </w:rPr>
        <w:t>Economic Growth in a Free Market</w:t>
      </w:r>
      <w:r>
        <w:rPr>
          <w:color w:val="231F20"/>
          <w:w w:val="105"/>
          <w:sz w:val="17"/>
          <w:lang w:val="id-ID"/>
        </w:rPr>
        <w:t>. New York:</w:t>
      </w:r>
      <w:r w:rsidRPr="005114CB">
        <w:rPr>
          <w:color w:val="231F20"/>
          <w:w w:val="105"/>
          <w:sz w:val="17"/>
          <w:lang w:val="id-ID"/>
        </w:rPr>
        <w:t xml:space="preserve"> Columbia University Press</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5114CB">
        <w:rPr>
          <w:color w:val="231F20"/>
          <w:w w:val="105"/>
          <w:sz w:val="17"/>
          <w:lang w:val="id-ID"/>
        </w:rPr>
        <w:t>Borts, G.</w:t>
      </w:r>
      <w:r>
        <w:rPr>
          <w:color w:val="231F20"/>
          <w:w w:val="105"/>
          <w:sz w:val="17"/>
          <w:lang w:val="id-ID"/>
        </w:rPr>
        <w:t xml:space="preserve"> H., &amp; </w:t>
      </w:r>
      <w:r w:rsidRPr="005114CB">
        <w:rPr>
          <w:color w:val="231F20"/>
          <w:w w:val="105"/>
          <w:sz w:val="17"/>
          <w:lang w:val="id-ID"/>
        </w:rPr>
        <w:t>Stein, J.</w:t>
      </w:r>
      <w:r>
        <w:rPr>
          <w:color w:val="231F20"/>
          <w:w w:val="105"/>
          <w:sz w:val="17"/>
          <w:lang w:val="id-ID"/>
        </w:rPr>
        <w:t xml:space="preserve"> L. (1968).</w:t>
      </w:r>
      <w:r w:rsidRPr="005114CB">
        <w:t xml:space="preserve"> </w:t>
      </w:r>
      <w:r w:rsidRPr="005114CB">
        <w:rPr>
          <w:color w:val="231F20"/>
          <w:w w:val="105"/>
          <w:sz w:val="17"/>
          <w:lang w:val="id-ID"/>
        </w:rPr>
        <w:t>Regional Growth and Maturity in the United States. A Study of Regional Structural Change</w:t>
      </w:r>
      <w:r>
        <w:rPr>
          <w:color w:val="231F20"/>
          <w:w w:val="105"/>
          <w:sz w:val="17"/>
          <w:lang w:val="id-ID"/>
        </w:rPr>
        <w:t xml:space="preserve">. </w:t>
      </w:r>
      <w:r w:rsidRPr="005114CB">
        <w:rPr>
          <w:i/>
          <w:color w:val="231F20"/>
          <w:w w:val="105"/>
          <w:sz w:val="17"/>
          <w:lang w:val="id-ID"/>
        </w:rPr>
        <w:t>Swiss Journal of Economics and Statistics, 98</w:t>
      </w:r>
      <w:r>
        <w:rPr>
          <w:color w:val="231F20"/>
          <w:w w:val="105"/>
          <w:sz w:val="17"/>
          <w:lang w:val="id-ID"/>
        </w:rPr>
        <w:t>(3</w:t>
      </w:r>
      <w:r w:rsidRPr="005114CB">
        <w:rPr>
          <w:color w:val="231F20"/>
          <w:w w:val="105"/>
          <w:sz w:val="17"/>
          <w:lang w:val="id-ID"/>
        </w:rPr>
        <w:t>), 290-321</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390BE1">
        <w:rPr>
          <w:color w:val="231F20"/>
          <w:w w:val="105"/>
          <w:sz w:val="17"/>
          <w:lang w:val="id-ID"/>
        </w:rPr>
        <w:t>Central Statistics Agency of Malinau Regency</w:t>
      </w:r>
      <w:r>
        <w:rPr>
          <w:color w:val="231F20"/>
          <w:w w:val="105"/>
          <w:sz w:val="17"/>
          <w:lang w:val="id-ID"/>
        </w:rPr>
        <w:t>.</w:t>
      </w:r>
      <w:r w:rsidRPr="00390BE1">
        <w:rPr>
          <w:color w:val="231F20"/>
          <w:w w:val="105"/>
          <w:sz w:val="17"/>
          <w:lang w:val="id-ID"/>
        </w:rPr>
        <w:t xml:space="preserve"> (2019)</w:t>
      </w:r>
      <w:r>
        <w:rPr>
          <w:color w:val="231F20"/>
          <w:w w:val="105"/>
          <w:sz w:val="17"/>
          <w:lang w:val="id-ID"/>
        </w:rPr>
        <w:t>.</w:t>
      </w:r>
      <w:r w:rsidRPr="00390BE1">
        <w:t xml:space="preserve"> </w:t>
      </w:r>
      <w:r w:rsidRPr="00390BE1">
        <w:rPr>
          <w:i/>
          <w:color w:val="231F20"/>
          <w:w w:val="105"/>
          <w:sz w:val="17"/>
          <w:lang w:val="id-ID"/>
        </w:rPr>
        <w:t>Malinau Regency in Figures</w:t>
      </w:r>
      <w:r>
        <w:rPr>
          <w:color w:val="231F20"/>
          <w:w w:val="105"/>
          <w:sz w:val="17"/>
          <w:lang w:val="id-ID"/>
        </w:rPr>
        <w:t>. ISBN</w:t>
      </w:r>
      <w:r w:rsidRPr="00390BE1">
        <w:rPr>
          <w:color w:val="231F20"/>
          <w:w w:val="105"/>
          <w:sz w:val="17"/>
          <w:lang w:val="id-ID"/>
        </w:rPr>
        <w:t>: 1907-2155</w:t>
      </w:r>
      <w:r>
        <w:rPr>
          <w:color w:val="231F20"/>
          <w:w w:val="105"/>
          <w:sz w:val="17"/>
          <w:lang w:val="id-ID"/>
        </w:rPr>
        <w:t xml:space="preserve">. Yogyakarta: </w:t>
      </w:r>
      <w:r w:rsidRPr="00390BE1">
        <w:rPr>
          <w:color w:val="231F20"/>
          <w:w w:val="105"/>
          <w:sz w:val="17"/>
          <w:lang w:val="id-ID"/>
        </w:rPr>
        <w:t>Global Byakta Way Laay</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F11AF1">
        <w:rPr>
          <w:color w:val="231F20"/>
          <w:w w:val="105"/>
          <w:sz w:val="17"/>
          <w:lang w:val="id-ID"/>
        </w:rPr>
        <w:t xml:space="preserve">Chenery, H. B., &amp; Syrquin, M. (1975). </w:t>
      </w:r>
      <w:r w:rsidRPr="0035062A">
        <w:rPr>
          <w:i/>
          <w:color w:val="231F20"/>
          <w:w w:val="105"/>
          <w:sz w:val="17"/>
          <w:lang w:val="id-ID"/>
        </w:rPr>
        <w:t>Patterns of development 1950-1970</w:t>
      </w:r>
      <w:r w:rsidRPr="00F11AF1">
        <w:rPr>
          <w:color w:val="231F20"/>
          <w:w w:val="105"/>
          <w:sz w:val="17"/>
          <w:lang w:val="id-ID"/>
        </w:rPr>
        <w:t>. Oxford: Oxford University Press.</w:t>
      </w:r>
    </w:p>
    <w:p w:rsidR="008D0B7C" w:rsidRDefault="008D0B7C" w:rsidP="008D0B7C">
      <w:pPr>
        <w:spacing w:line="285" w:lineRule="auto"/>
        <w:ind w:left="301" w:right="268" w:hanging="171"/>
        <w:jc w:val="both"/>
        <w:rPr>
          <w:color w:val="231F20"/>
          <w:w w:val="105"/>
          <w:sz w:val="17"/>
          <w:lang w:val="id-ID"/>
        </w:rPr>
      </w:pPr>
      <w:r>
        <w:rPr>
          <w:color w:val="231F20"/>
          <w:w w:val="105"/>
          <w:sz w:val="17"/>
          <w:lang w:val="id-ID"/>
        </w:rPr>
        <w:t xml:space="preserve">Douglass C. N. (1955). </w:t>
      </w:r>
      <w:r w:rsidRPr="00ED5F21">
        <w:rPr>
          <w:color w:val="231F20"/>
          <w:w w:val="105"/>
          <w:sz w:val="17"/>
          <w:lang w:val="id-ID"/>
        </w:rPr>
        <w:t>Location Theory and Regional Economic Growth</w:t>
      </w:r>
      <w:r>
        <w:rPr>
          <w:color w:val="231F20"/>
          <w:w w:val="105"/>
          <w:sz w:val="17"/>
          <w:lang w:val="id-ID"/>
        </w:rPr>
        <w:t xml:space="preserve">. </w:t>
      </w:r>
      <w:r w:rsidRPr="00ED5F21">
        <w:rPr>
          <w:i/>
          <w:color w:val="231F20"/>
          <w:w w:val="105"/>
          <w:sz w:val="17"/>
          <w:lang w:val="id-ID"/>
        </w:rPr>
        <w:t>Journal of Political Economy, 63</w:t>
      </w:r>
      <w:r>
        <w:rPr>
          <w:color w:val="231F20"/>
          <w:w w:val="105"/>
          <w:sz w:val="17"/>
          <w:lang w:val="id-ID"/>
        </w:rPr>
        <w:t>(</w:t>
      </w:r>
      <w:r w:rsidRPr="00ED5F21">
        <w:rPr>
          <w:color w:val="231F20"/>
          <w:w w:val="105"/>
          <w:sz w:val="17"/>
          <w:lang w:val="id-ID"/>
        </w:rPr>
        <w:t>3</w:t>
      </w:r>
      <w:r>
        <w:rPr>
          <w:color w:val="231F20"/>
          <w:w w:val="105"/>
          <w:sz w:val="17"/>
          <w:lang w:val="id-ID"/>
        </w:rPr>
        <w:t xml:space="preserve">), </w:t>
      </w:r>
      <w:r w:rsidRPr="00ED5F21">
        <w:rPr>
          <w:color w:val="231F20"/>
          <w:w w:val="105"/>
          <w:sz w:val="17"/>
          <w:lang w:val="id-ID"/>
        </w:rPr>
        <w:t>243-258</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0F1468">
        <w:rPr>
          <w:color w:val="231F20"/>
          <w:w w:val="105"/>
          <w:sz w:val="17"/>
          <w:lang w:val="id-ID"/>
        </w:rPr>
        <w:t>Kemal, A. R., Din,</w:t>
      </w:r>
      <w:r>
        <w:rPr>
          <w:color w:val="231F20"/>
          <w:w w:val="105"/>
          <w:sz w:val="17"/>
          <w:lang w:val="id-ID"/>
        </w:rPr>
        <w:t xml:space="preserve"> M. U.,</w:t>
      </w:r>
      <w:r w:rsidRPr="000F1468">
        <w:rPr>
          <w:color w:val="231F20"/>
          <w:w w:val="105"/>
          <w:sz w:val="17"/>
          <w:lang w:val="id-ID"/>
        </w:rPr>
        <w:t xml:space="preserve"> </w:t>
      </w:r>
      <w:r>
        <w:rPr>
          <w:color w:val="231F20"/>
          <w:w w:val="105"/>
          <w:sz w:val="17"/>
          <w:lang w:val="id-ID"/>
        </w:rPr>
        <w:t>Qadir, U</w:t>
      </w:r>
      <w:r w:rsidRPr="000F1468">
        <w:rPr>
          <w:color w:val="231F20"/>
          <w:w w:val="105"/>
          <w:sz w:val="17"/>
          <w:lang w:val="id-ID"/>
        </w:rPr>
        <w:t>.</w:t>
      </w:r>
      <w:r>
        <w:rPr>
          <w:color w:val="231F20"/>
          <w:w w:val="105"/>
          <w:sz w:val="17"/>
          <w:lang w:val="id-ID"/>
        </w:rPr>
        <w:t>,</w:t>
      </w:r>
      <w:r w:rsidRPr="000F1468">
        <w:rPr>
          <w:color w:val="231F20"/>
          <w:w w:val="105"/>
          <w:sz w:val="17"/>
          <w:lang w:val="id-ID"/>
        </w:rPr>
        <w:t xml:space="preserve"> </w:t>
      </w:r>
      <w:r>
        <w:rPr>
          <w:color w:val="231F20"/>
          <w:w w:val="105"/>
          <w:sz w:val="17"/>
          <w:lang w:val="id-ID"/>
        </w:rPr>
        <w:t>Fernando, L.,</w:t>
      </w:r>
      <w:r w:rsidRPr="000F1468">
        <w:rPr>
          <w:color w:val="231F20"/>
          <w:w w:val="105"/>
          <w:sz w:val="17"/>
          <w:lang w:val="id-ID"/>
        </w:rPr>
        <w:t xml:space="preserve"> Colombage</w:t>
      </w:r>
      <w:r>
        <w:rPr>
          <w:color w:val="231F20"/>
          <w:w w:val="105"/>
          <w:sz w:val="17"/>
          <w:lang w:val="id-ID"/>
        </w:rPr>
        <w:t>, S.</w:t>
      </w:r>
      <w:r w:rsidRPr="000F1468">
        <w:rPr>
          <w:color w:val="231F20"/>
          <w:w w:val="105"/>
          <w:sz w:val="17"/>
          <w:lang w:val="id-ID"/>
        </w:rPr>
        <w:t xml:space="preserve"> (2002) Exports and Economic Growth  in  South  Asia. </w:t>
      </w:r>
      <w:r w:rsidRPr="000F1468">
        <w:rPr>
          <w:i/>
          <w:color w:val="231F20"/>
          <w:w w:val="105"/>
          <w:sz w:val="17"/>
          <w:lang w:val="id-ID"/>
        </w:rPr>
        <w:t>A  Study  prepared  for  the  South  Asia  Network  of  Economic  Research Institutes</w:t>
      </w:r>
      <w:r>
        <w:rPr>
          <w:color w:val="231F20"/>
          <w:w w:val="105"/>
          <w:sz w:val="17"/>
          <w:lang w:val="id-ID"/>
        </w:rPr>
        <w:t>.</w:t>
      </w:r>
      <w:r w:rsidRPr="000F1468">
        <w:rPr>
          <w:color w:val="231F20"/>
          <w:w w:val="105"/>
          <w:sz w:val="17"/>
          <w:lang w:val="id-ID"/>
        </w:rPr>
        <w:t xml:space="preserve"> Islamabad</w:t>
      </w:r>
      <w:r>
        <w:rPr>
          <w:color w:val="231F20"/>
          <w:w w:val="105"/>
          <w:sz w:val="17"/>
          <w:lang w:val="id-ID"/>
        </w:rPr>
        <w:t xml:space="preserve">: </w:t>
      </w:r>
      <w:r w:rsidRPr="000F1468">
        <w:rPr>
          <w:color w:val="231F20"/>
          <w:w w:val="105"/>
          <w:sz w:val="17"/>
          <w:lang w:val="id-ID"/>
        </w:rPr>
        <w:t xml:space="preserve">Pakistan Institute of Development Economics. Retrieved from </w:t>
      </w:r>
      <w:hyperlink r:id="rId17" w:history="1">
        <w:r w:rsidRPr="000F1468">
          <w:rPr>
            <w:rStyle w:val="Hyperlink"/>
            <w:color w:val="000000" w:themeColor="text1"/>
            <w:w w:val="105"/>
            <w:sz w:val="17"/>
            <w:u w:val="none"/>
            <w:lang w:val="id-ID"/>
          </w:rPr>
          <w:t>http://saneinetwork.net/Files/02_05.pdf</w:t>
        </w:r>
      </w:hyperlink>
      <w:r w:rsidRPr="000F1468">
        <w:rPr>
          <w:color w:val="000000" w:themeColor="text1"/>
          <w:w w:val="105"/>
          <w:sz w:val="17"/>
          <w:lang w:val="id-ID"/>
        </w:rPr>
        <w:t>.</w:t>
      </w:r>
    </w:p>
    <w:p w:rsidR="008D0B7C" w:rsidRDefault="008D0B7C" w:rsidP="008D0B7C">
      <w:pPr>
        <w:spacing w:line="285" w:lineRule="auto"/>
        <w:ind w:left="301" w:right="268" w:hanging="171"/>
        <w:jc w:val="both"/>
        <w:rPr>
          <w:color w:val="231F20"/>
          <w:w w:val="105"/>
          <w:sz w:val="17"/>
          <w:lang w:val="id-ID"/>
        </w:rPr>
      </w:pPr>
      <w:r>
        <w:rPr>
          <w:color w:val="231F20"/>
          <w:w w:val="105"/>
          <w:sz w:val="17"/>
          <w:lang w:val="id-ID"/>
        </w:rPr>
        <w:t>Kuncoro, M. (</w:t>
      </w:r>
      <w:r w:rsidRPr="00800F1F">
        <w:rPr>
          <w:color w:val="231F20"/>
          <w:w w:val="105"/>
          <w:sz w:val="17"/>
          <w:lang w:val="id-ID"/>
        </w:rPr>
        <w:t>2003</w:t>
      </w:r>
      <w:r>
        <w:rPr>
          <w:color w:val="231F20"/>
          <w:w w:val="105"/>
          <w:sz w:val="17"/>
          <w:lang w:val="id-ID"/>
        </w:rPr>
        <w:t xml:space="preserve">). </w:t>
      </w:r>
      <w:r w:rsidRPr="00800F1F">
        <w:rPr>
          <w:i/>
          <w:color w:val="231F20"/>
          <w:w w:val="105"/>
          <w:sz w:val="17"/>
          <w:lang w:val="id-ID"/>
        </w:rPr>
        <w:t>Metode Riset untuk Bisnis &amp; Ekonomi</w:t>
      </w:r>
      <w:r w:rsidRPr="00800F1F">
        <w:rPr>
          <w:color w:val="231F20"/>
          <w:w w:val="105"/>
          <w:sz w:val="17"/>
          <w:lang w:val="id-ID"/>
        </w:rPr>
        <w:t>.   Jakarta: Erlangga</w:t>
      </w:r>
      <w:r>
        <w:rPr>
          <w:color w:val="231F20"/>
          <w:w w:val="105"/>
          <w:sz w:val="17"/>
          <w:lang w:val="id-ID"/>
        </w:rPr>
        <w:t>.</w:t>
      </w:r>
    </w:p>
    <w:p w:rsidR="005A51BD" w:rsidRDefault="005A51BD" w:rsidP="008D0B7C">
      <w:pPr>
        <w:spacing w:line="285" w:lineRule="auto"/>
        <w:ind w:left="301" w:right="268" w:hanging="171"/>
        <w:jc w:val="both"/>
        <w:rPr>
          <w:color w:val="231F20"/>
          <w:w w:val="105"/>
          <w:sz w:val="17"/>
          <w:lang w:val="id-ID"/>
        </w:rPr>
      </w:pPr>
      <w:r>
        <w:rPr>
          <w:color w:val="231F20"/>
          <w:w w:val="105"/>
          <w:sz w:val="17"/>
          <w:lang w:val="id-ID"/>
        </w:rPr>
        <w:t xml:space="preserve">Marzuki, C. (1999). </w:t>
      </w:r>
      <w:r w:rsidRPr="005A51BD">
        <w:rPr>
          <w:i/>
          <w:color w:val="231F20"/>
          <w:w w:val="105"/>
          <w:sz w:val="17"/>
          <w:lang w:val="id-ID"/>
        </w:rPr>
        <w:t>Metodologi Riset</w:t>
      </w:r>
      <w:r>
        <w:rPr>
          <w:color w:val="231F20"/>
          <w:w w:val="105"/>
          <w:sz w:val="17"/>
          <w:lang w:val="id-ID"/>
        </w:rPr>
        <w:t xml:space="preserve">. </w:t>
      </w:r>
      <w:r w:rsidRPr="005A51BD">
        <w:rPr>
          <w:color w:val="231F20"/>
          <w:w w:val="105"/>
          <w:sz w:val="17"/>
          <w:lang w:val="id-ID"/>
        </w:rPr>
        <w:t>Jakarta: Erlangga</w:t>
      </w:r>
      <w:r>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403996">
        <w:rPr>
          <w:color w:val="231F20"/>
          <w:w w:val="105"/>
          <w:sz w:val="17"/>
          <w:lang w:val="id-ID"/>
        </w:rPr>
        <w:t>Miller,</w:t>
      </w:r>
      <w:r>
        <w:rPr>
          <w:color w:val="231F20"/>
          <w:w w:val="105"/>
          <w:sz w:val="17"/>
          <w:lang w:val="id-ID"/>
        </w:rPr>
        <w:t xml:space="preserve"> N. G., &amp;</w:t>
      </w:r>
      <w:r w:rsidRPr="00403996">
        <w:rPr>
          <w:color w:val="231F20"/>
          <w:w w:val="105"/>
          <w:sz w:val="17"/>
          <w:lang w:val="id-ID"/>
        </w:rPr>
        <w:t xml:space="preserve"> Geltner</w:t>
      </w:r>
      <w:r>
        <w:rPr>
          <w:color w:val="231F20"/>
          <w:w w:val="105"/>
          <w:sz w:val="17"/>
          <w:lang w:val="id-ID"/>
        </w:rPr>
        <w:t xml:space="preserve">, D. M. (2004). </w:t>
      </w:r>
      <w:r w:rsidRPr="00403996">
        <w:rPr>
          <w:color w:val="231F20"/>
          <w:w w:val="105"/>
          <w:sz w:val="17"/>
          <w:lang w:val="id-ID"/>
        </w:rPr>
        <w:t>Reviewed Work: Real Estate Principles for the New Economy</w:t>
      </w:r>
      <w:r>
        <w:rPr>
          <w:color w:val="231F20"/>
          <w:w w:val="105"/>
          <w:sz w:val="17"/>
          <w:lang w:val="id-ID"/>
        </w:rPr>
        <w:t xml:space="preserve">. </w:t>
      </w:r>
      <w:r w:rsidRPr="00403996">
        <w:rPr>
          <w:i/>
          <w:color w:val="231F20"/>
          <w:w w:val="105"/>
          <w:sz w:val="17"/>
          <w:lang w:val="id-ID"/>
        </w:rPr>
        <w:t>Journal of Real Estate Literature, 12</w:t>
      </w:r>
      <w:r>
        <w:rPr>
          <w:color w:val="231F20"/>
          <w:w w:val="105"/>
          <w:sz w:val="17"/>
          <w:lang w:val="id-ID"/>
        </w:rPr>
        <w:t>(3), 407-</w:t>
      </w:r>
      <w:r w:rsidRPr="00403996">
        <w:rPr>
          <w:color w:val="231F20"/>
          <w:w w:val="105"/>
          <w:sz w:val="17"/>
          <w:lang w:val="id-ID"/>
        </w:rPr>
        <w:t>409</w:t>
      </w:r>
      <w:r>
        <w:rPr>
          <w:color w:val="231F20"/>
          <w:w w:val="105"/>
          <w:sz w:val="17"/>
          <w:lang w:val="id-ID"/>
        </w:rPr>
        <w:t>.</w:t>
      </w:r>
    </w:p>
    <w:p w:rsidR="008D0B7C" w:rsidRPr="0064523C" w:rsidRDefault="008D0B7C" w:rsidP="008D0B7C">
      <w:pPr>
        <w:spacing w:line="285" w:lineRule="auto"/>
        <w:ind w:left="301" w:right="268" w:hanging="171"/>
        <w:jc w:val="both"/>
        <w:rPr>
          <w:color w:val="231F20"/>
          <w:w w:val="105"/>
          <w:sz w:val="17"/>
          <w:lang w:val="id-ID"/>
        </w:rPr>
      </w:pPr>
      <w:r>
        <w:rPr>
          <w:color w:val="231F20"/>
          <w:w w:val="105"/>
          <w:sz w:val="17"/>
          <w:lang w:val="id-ID"/>
        </w:rPr>
        <w:t>Nur. M</w:t>
      </w:r>
      <w:r w:rsidRPr="00462D36">
        <w:rPr>
          <w:color w:val="231F20"/>
          <w:w w:val="105"/>
          <w:sz w:val="17"/>
          <w:lang w:val="id-ID"/>
        </w:rPr>
        <w:t xml:space="preserve">. </w:t>
      </w:r>
      <w:r>
        <w:rPr>
          <w:color w:val="231F20"/>
          <w:w w:val="105"/>
          <w:sz w:val="17"/>
          <w:lang w:val="id-ID"/>
        </w:rPr>
        <w:t>(</w:t>
      </w:r>
      <w:r w:rsidRPr="00462D36">
        <w:rPr>
          <w:color w:val="231F20"/>
          <w:w w:val="105"/>
          <w:sz w:val="17"/>
          <w:lang w:val="id-ID"/>
        </w:rPr>
        <w:t>2010</w:t>
      </w:r>
      <w:r>
        <w:rPr>
          <w:color w:val="231F20"/>
          <w:w w:val="105"/>
          <w:sz w:val="17"/>
          <w:lang w:val="id-ID"/>
        </w:rPr>
        <w:t>)</w:t>
      </w:r>
      <w:r w:rsidRPr="00462D36">
        <w:rPr>
          <w:color w:val="231F20"/>
          <w:w w:val="105"/>
          <w:sz w:val="17"/>
          <w:lang w:val="id-ID"/>
        </w:rPr>
        <w:t xml:space="preserve">. </w:t>
      </w:r>
      <w:r w:rsidRPr="00083647">
        <w:rPr>
          <w:i/>
          <w:color w:val="231F20"/>
          <w:w w:val="105"/>
          <w:sz w:val="17"/>
          <w:lang w:val="id-ID"/>
        </w:rPr>
        <w:t>Statistika Deskriptif dan Induktif</w:t>
      </w:r>
      <w:r w:rsidRPr="00462D36">
        <w:rPr>
          <w:color w:val="231F20"/>
          <w:w w:val="105"/>
          <w:sz w:val="17"/>
          <w:lang w:val="id-ID"/>
        </w:rPr>
        <w:t xml:space="preserve">. </w:t>
      </w:r>
      <w:r>
        <w:rPr>
          <w:color w:val="231F20"/>
          <w:w w:val="105"/>
          <w:sz w:val="17"/>
          <w:lang w:val="id-ID"/>
        </w:rPr>
        <w:t xml:space="preserve">Jakarta: </w:t>
      </w:r>
      <w:r w:rsidRPr="00462D36">
        <w:rPr>
          <w:color w:val="231F20"/>
          <w:w w:val="105"/>
          <w:sz w:val="17"/>
          <w:lang w:val="id-ID"/>
        </w:rPr>
        <w:t xml:space="preserve">Graha </w:t>
      </w:r>
      <w:r>
        <w:rPr>
          <w:color w:val="231F20"/>
          <w:w w:val="105"/>
          <w:sz w:val="17"/>
          <w:lang w:val="id-ID"/>
        </w:rPr>
        <w:t>Ilmu</w:t>
      </w:r>
      <w:r w:rsidRPr="00462D36">
        <w:rPr>
          <w:color w:val="231F20"/>
          <w:w w:val="105"/>
          <w:sz w:val="17"/>
          <w:lang w:val="id-ID"/>
        </w:rPr>
        <w:t>.</w:t>
      </w:r>
    </w:p>
    <w:p w:rsidR="008D0B7C" w:rsidRDefault="008D0B7C" w:rsidP="008D0B7C">
      <w:pPr>
        <w:spacing w:line="285" w:lineRule="auto"/>
        <w:ind w:left="301" w:right="268" w:hanging="171"/>
        <w:jc w:val="both"/>
        <w:rPr>
          <w:color w:val="231F20"/>
          <w:w w:val="105"/>
          <w:sz w:val="17"/>
          <w:lang w:val="id-ID"/>
        </w:rPr>
      </w:pPr>
      <w:r w:rsidRPr="0064523C">
        <w:rPr>
          <w:color w:val="231F20"/>
          <w:w w:val="105"/>
          <w:sz w:val="17"/>
          <w:lang w:val="id-ID"/>
        </w:rPr>
        <w:t xml:space="preserve">Solow, R. </w:t>
      </w:r>
      <w:r>
        <w:rPr>
          <w:color w:val="231F20"/>
          <w:w w:val="105"/>
          <w:sz w:val="17"/>
          <w:lang w:val="id-ID"/>
        </w:rPr>
        <w:t xml:space="preserve">M. (1956). </w:t>
      </w:r>
      <w:r w:rsidRPr="0064523C">
        <w:rPr>
          <w:color w:val="231F20"/>
          <w:w w:val="105"/>
          <w:sz w:val="17"/>
          <w:lang w:val="id-ID"/>
        </w:rPr>
        <w:t>Contribution to</w:t>
      </w:r>
      <w:r>
        <w:rPr>
          <w:color w:val="231F20"/>
          <w:w w:val="105"/>
          <w:sz w:val="17"/>
          <w:lang w:val="id-ID"/>
        </w:rPr>
        <w:t xml:space="preserve"> the Theory of Economic Growth.</w:t>
      </w:r>
      <w:r w:rsidRPr="0064523C">
        <w:rPr>
          <w:color w:val="231F20"/>
          <w:w w:val="105"/>
          <w:sz w:val="17"/>
          <w:lang w:val="id-ID"/>
        </w:rPr>
        <w:t xml:space="preserve"> </w:t>
      </w:r>
      <w:r w:rsidRPr="007D72C1">
        <w:rPr>
          <w:i/>
          <w:color w:val="231F20"/>
          <w:w w:val="105"/>
          <w:sz w:val="17"/>
          <w:lang w:val="id-ID"/>
        </w:rPr>
        <w:t>Quarterly Journal of Economics, 70</w:t>
      </w:r>
      <w:r>
        <w:rPr>
          <w:color w:val="231F20"/>
          <w:w w:val="105"/>
          <w:sz w:val="17"/>
          <w:lang w:val="id-ID"/>
        </w:rPr>
        <w:t>(1), 65-</w:t>
      </w:r>
      <w:r w:rsidRPr="0064523C">
        <w:rPr>
          <w:color w:val="231F20"/>
          <w:w w:val="105"/>
          <w:sz w:val="17"/>
          <w:lang w:val="id-ID"/>
        </w:rPr>
        <w:t>94</w:t>
      </w:r>
      <w:r>
        <w:rPr>
          <w:color w:val="231F20"/>
          <w:w w:val="105"/>
          <w:sz w:val="17"/>
          <w:lang w:val="id-ID"/>
        </w:rPr>
        <w:t>.</w:t>
      </w:r>
    </w:p>
    <w:p w:rsidR="008D0B7C" w:rsidRPr="003B36CD" w:rsidRDefault="008D0B7C" w:rsidP="008D0B7C">
      <w:pPr>
        <w:spacing w:line="285" w:lineRule="auto"/>
        <w:ind w:left="301" w:right="268" w:hanging="171"/>
        <w:jc w:val="both"/>
        <w:rPr>
          <w:color w:val="231F20"/>
          <w:w w:val="105"/>
          <w:sz w:val="17"/>
          <w:lang w:val="id-ID"/>
        </w:rPr>
      </w:pPr>
      <w:r w:rsidRPr="003B36CD">
        <w:rPr>
          <w:color w:val="231F20"/>
          <w:w w:val="105"/>
          <w:sz w:val="17"/>
          <w:lang w:val="id-ID"/>
        </w:rPr>
        <w:t xml:space="preserve">Tarigan. R. </w:t>
      </w:r>
      <w:r>
        <w:rPr>
          <w:color w:val="231F20"/>
          <w:w w:val="105"/>
          <w:sz w:val="17"/>
          <w:lang w:val="id-ID"/>
        </w:rPr>
        <w:t>(</w:t>
      </w:r>
      <w:r w:rsidRPr="003B36CD">
        <w:rPr>
          <w:color w:val="231F20"/>
          <w:w w:val="105"/>
          <w:sz w:val="17"/>
          <w:lang w:val="id-ID"/>
        </w:rPr>
        <w:t>2005</w:t>
      </w:r>
      <w:r>
        <w:rPr>
          <w:color w:val="231F20"/>
          <w:w w:val="105"/>
          <w:sz w:val="17"/>
          <w:lang w:val="id-ID"/>
        </w:rPr>
        <w:t>)</w:t>
      </w:r>
      <w:r w:rsidRPr="003B36CD">
        <w:rPr>
          <w:color w:val="231F20"/>
          <w:w w:val="105"/>
          <w:sz w:val="17"/>
          <w:lang w:val="id-ID"/>
        </w:rPr>
        <w:t xml:space="preserve">. </w:t>
      </w:r>
      <w:r w:rsidRPr="003B36CD">
        <w:rPr>
          <w:i/>
          <w:color w:val="231F20"/>
          <w:w w:val="105"/>
          <w:sz w:val="17"/>
          <w:lang w:val="id-ID"/>
        </w:rPr>
        <w:t>Perencanaan Pembangunan Wilayah, Edisi Revisi</w:t>
      </w:r>
      <w:r>
        <w:rPr>
          <w:color w:val="231F20"/>
          <w:w w:val="105"/>
          <w:sz w:val="17"/>
          <w:lang w:val="id-ID"/>
        </w:rPr>
        <w:t>. Jakarta</w:t>
      </w:r>
      <w:r w:rsidRPr="003B36CD">
        <w:rPr>
          <w:color w:val="231F20"/>
          <w:w w:val="105"/>
          <w:sz w:val="17"/>
          <w:lang w:val="id-ID"/>
        </w:rPr>
        <w:t>: Bumi Aksara.</w:t>
      </w:r>
    </w:p>
    <w:p w:rsidR="008D0B7C" w:rsidRDefault="008D0B7C" w:rsidP="008D0B7C">
      <w:pPr>
        <w:spacing w:line="285" w:lineRule="auto"/>
        <w:ind w:left="301" w:right="268" w:hanging="171"/>
        <w:jc w:val="both"/>
        <w:rPr>
          <w:color w:val="231F20"/>
          <w:w w:val="105"/>
          <w:sz w:val="17"/>
          <w:lang w:val="id-ID"/>
        </w:rPr>
      </w:pPr>
      <w:r>
        <w:rPr>
          <w:color w:val="231F20"/>
          <w:w w:val="105"/>
          <w:sz w:val="17"/>
          <w:lang w:val="id-ID"/>
        </w:rPr>
        <w:t>Tarigan. R. (</w:t>
      </w:r>
      <w:r w:rsidRPr="003B36CD">
        <w:rPr>
          <w:color w:val="231F20"/>
          <w:w w:val="105"/>
          <w:sz w:val="17"/>
          <w:lang w:val="id-ID"/>
        </w:rPr>
        <w:t>2007</w:t>
      </w:r>
      <w:r>
        <w:rPr>
          <w:color w:val="231F20"/>
          <w:w w:val="105"/>
          <w:sz w:val="17"/>
          <w:lang w:val="id-ID"/>
        </w:rPr>
        <w:t>)</w:t>
      </w:r>
      <w:r w:rsidRPr="003B36CD">
        <w:rPr>
          <w:color w:val="231F20"/>
          <w:w w:val="105"/>
          <w:sz w:val="17"/>
          <w:lang w:val="id-ID"/>
        </w:rPr>
        <w:t xml:space="preserve">. </w:t>
      </w:r>
      <w:r w:rsidRPr="003B36CD">
        <w:rPr>
          <w:i/>
          <w:color w:val="231F20"/>
          <w:w w:val="105"/>
          <w:sz w:val="17"/>
          <w:lang w:val="id-ID"/>
        </w:rPr>
        <w:t>Teori dan Aplikasi Ekonomi Regional, Cetakan Keempat</w:t>
      </w:r>
      <w:r>
        <w:rPr>
          <w:color w:val="231F20"/>
          <w:w w:val="105"/>
          <w:sz w:val="17"/>
          <w:lang w:val="id-ID"/>
        </w:rPr>
        <w:t>. Jakarta</w:t>
      </w:r>
      <w:r w:rsidRPr="003B36CD">
        <w:rPr>
          <w:color w:val="231F20"/>
          <w:w w:val="105"/>
          <w:sz w:val="17"/>
          <w:lang w:val="id-ID"/>
        </w:rPr>
        <w:t>: Bumi Aksara.</w:t>
      </w:r>
    </w:p>
    <w:p w:rsidR="008D0B7C" w:rsidRDefault="008D0B7C" w:rsidP="008D0B7C">
      <w:pPr>
        <w:spacing w:line="285" w:lineRule="auto"/>
        <w:ind w:left="301" w:right="268" w:hanging="171"/>
        <w:jc w:val="both"/>
        <w:rPr>
          <w:color w:val="231F20"/>
          <w:w w:val="105"/>
          <w:sz w:val="17"/>
          <w:lang w:val="id-ID"/>
        </w:rPr>
      </w:pPr>
      <w:r w:rsidRPr="00360564">
        <w:rPr>
          <w:color w:val="231F20"/>
          <w:w w:val="105"/>
          <w:sz w:val="17"/>
          <w:lang w:val="id-ID"/>
        </w:rPr>
        <w:t>Tiebout</w:t>
      </w:r>
      <w:r>
        <w:rPr>
          <w:color w:val="231F20"/>
          <w:w w:val="105"/>
          <w:sz w:val="17"/>
          <w:lang w:val="id-ID"/>
        </w:rPr>
        <w:t>, C. M. (1956).</w:t>
      </w:r>
      <w:r w:rsidRPr="00360564">
        <w:t xml:space="preserve"> </w:t>
      </w:r>
      <w:r w:rsidRPr="00360564">
        <w:rPr>
          <w:color w:val="231F20"/>
          <w:w w:val="105"/>
          <w:sz w:val="17"/>
          <w:lang w:val="id-ID"/>
        </w:rPr>
        <w:t>Expo</w:t>
      </w:r>
      <w:r>
        <w:rPr>
          <w:color w:val="231F20"/>
          <w:w w:val="105"/>
          <w:sz w:val="17"/>
          <w:lang w:val="id-ID"/>
        </w:rPr>
        <w:t xml:space="preserve">rts and Regional Economic Growth. </w:t>
      </w:r>
      <w:r w:rsidRPr="00360564">
        <w:rPr>
          <w:i/>
          <w:color w:val="231F20"/>
          <w:w w:val="105"/>
          <w:sz w:val="17"/>
          <w:lang w:val="id-ID"/>
        </w:rPr>
        <w:t>Journal of Political Economy, 64</w:t>
      </w:r>
      <w:r>
        <w:rPr>
          <w:color w:val="231F20"/>
          <w:w w:val="105"/>
          <w:sz w:val="17"/>
          <w:lang w:val="id-ID"/>
        </w:rPr>
        <w:t>(</w:t>
      </w:r>
      <w:r w:rsidRPr="00360564">
        <w:rPr>
          <w:color w:val="231F20"/>
          <w:w w:val="105"/>
          <w:sz w:val="17"/>
          <w:lang w:val="id-ID"/>
        </w:rPr>
        <w:t>2</w:t>
      </w:r>
      <w:r>
        <w:rPr>
          <w:color w:val="231F20"/>
          <w:w w:val="105"/>
          <w:sz w:val="17"/>
          <w:lang w:val="id-ID"/>
        </w:rPr>
        <w:t>),</w:t>
      </w:r>
      <w:r w:rsidRPr="00360564">
        <w:rPr>
          <w:color w:val="231F20"/>
          <w:w w:val="105"/>
          <w:sz w:val="17"/>
          <w:lang w:val="id-ID"/>
        </w:rPr>
        <w:t xml:space="preserve"> 160-164</w:t>
      </w:r>
      <w:r>
        <w:rPr>
          <w:color w:val="231F20"/>
          <w:w w:val="105"/>
          <w:sz w:val="17"/>
          <w:lang w:val="id-ID"/>
        </w:rPr>
        <w:t>.</w:t>
      </w:r>
    </w:p>
    <w:p w:rsidR="008D0B7C" w:rsidRDefault="008D0B7C" w:rsidP="008D0B7C">
      <w:pPr>
        <w:spacing w:line="285" w:lineRule="auto"/>
        <w:ind w:left="301" w:right="268" w:hanging="171"/>
        <w:jc w:val="both"/>
        <w:rPr>
          <w:color w:val="000000" w:themeColor="text1"/>
          <w:w w:val="105"/>
          <w:sz w:val="17"/>
          <w:lang w:val="id-ID"/>
        </w:rPr>
      </w:pPr>
      <w:r>
        <w:rPr>
          <w:color w:val="231F20"/>
          <w:w w:val="105"/>
          <w:sz w:val="17"/>
          <w:lang w:val="id-ID"/>
        </w:rPr>
        <w:t>Weiss,</w:t>
      </w:r>
      <w:r w:rsidRPr="006173BE">
        <w:rPr>
          <w:color w:val="231F20"/>
          <w:w w:val="105"/>
          <w:sz w:val="17"/>
          <w:lang w:val="id-ID"/>
        </w:rPr>
        <w:t xml:space="preserve"> J. (2005)</w:t>
      </w:r>
      <w:r>
        <w:rPr>
          <w:color w:val="231F20"/>
          <w:w w:val="105"/>
          <w:sz w:val="17"/>
          <w:lang w:val="id-ID"/>
        </w:rPr>
        <w:t>. Export growth</w:t>
      </w:r>
      <w:r w:rsidRPr="006173BE">
        <w:rPr>
          <w:color w:val="231F20"/>
          <w:w w:val="105"/>
          <w:sz w:val="17"/>
          <w:lang w:val="id-ID"/>
        </w:rPr>
        <w:t xml:space="preserve"> an</w:t>
      </w:r>
      <w:r>
        <w:rPr>
          <w:color w:val="231F20"/>
          <w:w w:val="105"/>
          <w:sz w:val="17"/>
          <w:lang w:val="id-ID"/>
        </w:rPr>
        <w:t>d industrial policy:  Lessons from the East Asian</w:t>
      </w:r>
      <w:r w:rsidRPr="006173BE">
        <w:rPr>
          <w:color w:val="231F20"/>
          <w:w w:val="105"/>
          <w:sz w:val="17"/>
          <w:lang w:val="id-ID"/>
        </w:rPr>
        <w:t xml:space="preserve"> miracle experience. </w:t>
      </w:r>
      <w:r w:rsidRPr="006173BE">
        <w:rPr>
          <w:i/>
          <w:color w:val="231F20"/>
          <w:w w:val="105"/>
          <w:sz w:val="17"/>
          <w:lang w:val="id-ID"/>
        </w:rPr>
        <w:t>ADB Institute Discussion Papers No. 26</w:t>
      </w:r>
      <w:r w:rsidRPr="006173BE">
        <w:rPr>
          <w:color w:val="231F20"/>
          <w:w w:val="105"/>
          <w:sz w:val="17"/>
          <w:lang w:val="id-ID"/>
        </w:rPr>
        <w:t xml:space="preserve">. Retrieved from </w:t>
      </w:r>
      <w:hyperlink r:id="rId18" w:history="1">
        <w:r w:rsidRPr="00791B5A">
          <w:rPr>
            <w:rStyle w:val="Hyperlink"/>
            <w:color w:val="000000" w:themeColor="text1"/>
            <w:w w:val="105"/>
            <w:sz w:val="17"/>
            <w:u w:val="none"/>
            <w:lang w:val="id-ID"/>
          </w:rPr>
          <w:t>http://siteresources.worldbank.org/EXTEXPCOMNET/Resources/2463593-1213975515123/17_Weiss.pdf</w:t>
        </w:r>
      </w:hyperlink>
      <w:r w:rsidR="00E06274">
        <w:rPr>
          <w:color w:val="000000" w:themeColor="text1"/>
          <w:w w:val="105"/>
          <w:sz w:val="17"/>
          <w:lang w:val="id-ID"/>
        </w:rPr>
        <w:t>.</w:t>
      </w:r>
    </w:p>
    <w:p w:rsidR="008D0B7C" w:rsidRPr="0064523C" w:rsidRDefault="008D0B7C" w:rsidP="00083647">
      <w:pPr>
        <w:spacing w:line="285" w:lineRule="auto"/>
        <w:ind w:left="301" w:right="268" w:hanging="171"/>
        <w:jc w:val="both"/>
        <w:rPr>
          <w:color w:val="231F20"/>
          <w:w w:val="105"/>
          <w:sz w:val="17"/>
          <w:lang w:val="id-ID"/>
        </w:rPr>
      </w:pPr>
    </w:p>
    <w:p w:rsidR="00083647" w:rsidRDefault="00083647" w:rsidP="005A51BD">
      <w:pPr>
        <w:spacing w:line="285" w:lineRule="auto"/>
        <w:ind w:right="268"/>
        <w:jc w:val="both"/>
        <w:rPr>
          <w:color w:val="000000" w:themeColor="text1"/>
          <w:w w:val="105"/>
          <w:sz w:val="17"/>
          <w:lang w:val="id-ID"/>
        </w:rPr>
      </w:pPr>
    </w:p>
    <w:p w:rsidR="00313619" w:rsidRPr="00A2380D" w:rsidRDefault="00313619" w:rsidP="00085EE6">
      <w:pPr>
        <w:pStyle w:val="Heading1"/>
        <w:tabs>
          <w:tab w:val="left" w:pos="391"/>
        </w:tabs>
        <w:spacing w:before="6"/>
        <w:ind w:left="0" w:firstLine="0"/>
        <w:rPr>
          <w:lang w:val="id-ID"/>
        </w:rPr>
        <w:sectPr w:rsidR="00313619" w:rsidRPr="00A2380D">
          <w:type w:val="continuous"/>
          <w:pgSz w:w="12240" w:h="15840"/>
          <w:pgMar w:top="1760" w:right="1000" w:bottom="280" w:left="1140" w:header="720" w:footer="720" w:gutter="0"/>
          <w:cols w:num="2" w:space="720" w:equalWidth="0">
            <w:col w:w="4856" w:space="159"/>
            <w:col w:w="5085"/>
          </w:cols>
        </w:sectPr>
      </w:pPr>
    </w:p>
    <w:p w:rsidR="00313619" w:rsidRPr="0064523C" w:rsidRDefault="00313619" w:rsidP="0064523C">
      <w:pPr>
        <w:pStyle w:val="BodyText"/>
        <w:spacing w:before="4"/>
        <w:rPr>
          <w:lang w:val="id-ID"/>
        </w:rPr>
      </w:pPr>
    </w:p>
    <w:sectPr w:rsidR="00313619" w:rsidRPr="0064523C">
      <w:headerReference w:type="even" r:id="rId19"/>
      <w:pgSz w:w="12240" w:h="15840"/>
      <w:pgMar w:top="1240" w:right="100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A3" w:rsidRDefault="004819A3">
      <w:r>
        <w:separator/>
      </w:r>
    </w:p>
  </w:endnote>
  <w:endnote w:type="continuationSeparator" w:id="0">
    <w:p w:rsidR="004819A3" w:rsidRDefault="004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A3" w:rsidRDefault="004819A3">
      <w:r>
        <w:separator/>
      </w:r>
    </w:p>
  </w:footnote>
  <w:footnote w:type="continuationSeparator" w:id="0">
    <w:p w:rsidR="004819A3" w:rsidRDefault="0048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19" w:rsidRDefault="00003219">
    <w:pPr>
      <w:pStyle w:val="BodyText"/>
      <w:spacing w:line="14" w:lineRule="auto"/>
      <w:rPr>
        <w:sz w:val="20"/>
      </w:rPr>
    </w:pPr>
    <w:r>
      <w:rPr>
        <w:noProof/>
        <w:lang w:eastAsia="ko-KR"/>
      </w:rPr>
      <mc:AlternateContent>
        <mc:Choice Requires="wps">
          <w:drawing>
            <wp:anchor distT="0" distB="0" distL="114300" distR="114300" simplePos="0" relativeHeight="486946304" behindDoc="1" locked="0" layoutInCell="1" allowOverlap="1" wp14:anchorId="7F9F1E86" wp14:editId="16630706">
              <wp:simplePos x="0" y="0"/>
              <wp:positionH relativeFrom="page">
                <wp:posOffset>768985</wp:posOffset>
              </wp:positionH>
              <wp:positionV relativeFrom="page">
                <wp:posOffset>1000125</wp:posOffset>
              </wp:positionV>
              <wp:extent cx="175895" cy="13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219" w:rsidRDefault="00003219">
                          <w:pPr>
                            <w:spacing w:before="18"/>
                            <w:ind w:left="61"/>
                            <w:rPr>
                              <w:rFonts w:ascii="Times New Roman"/>
                              <w:i/>
                              <w:sz w:val="15"/>
                            </w:rPr>
                          </w:pPr>
                          <w:r>
                            <w:fldChar w:fldCharType="begin"/>
                          </w:r>
                          <w:r>
                            <w:rPr>
                              <w:rFonts w:ascii="Times New Roman"/>
                              <w:i/>
                              <w:color w:val="231F20"/>
                              <w:w w:val="105"/>
                              <w:sz w:val="15"/>
                            </w:rPr>
                            <w:instrText xml:space="preserve"> PAGE </w:instrText>
                          </w:r>
                          <w:r>
                            <w:fldChar w:fldCharType="separate"/>
                          </w:r>
                          <w:r w:rsidR="00756C40">
                            <w:rPr>
                              <w:rFonts w:ascii="Times New Roman"/>
                              <w:i/>
                              <w:noProof/>
                              <w:color w:val="231F20"/>
                              <w:w w:val="105"/>
                              <w:sz w:val="1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1E86" id="_x0000_t202" coordsize="21600,21600" o:spt="202" path="m,l,21600r21600,l21600,xe">
              <v:stroke joinstyle="miter"/>
              <v:path gradientshapeok="t" o:connecttype="rect"/>
            </v:shapetype>
            <v:shape id="Text Box 2" o:spid="_x0000_s1026" type="#_x0000_t202" style="position:absolute;margin-left:60.55pt;margin-top:78.75pt;width:13.85pt;height:10.6pt;z-index:-163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31U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" filled="f" stroked="f">
              <v:textbox inset="0,0,0,0">
                <w:txbxContent>
                  <w:p w:rsidR="00003219" w:rsidRDefault="00003219">
                    <w:pPr>
                      <w:spacing w:before="18"/>
                      <w:ind w:left="61"/>
                      <w:rPr>
                        <w:rFonts w:ascii="Times New Roman"/>
                        <w:i/>
                        <w:sz w:val="15"/>
                      </w:rPr>
                    </w:pPr>
                    <w:r>
                      <w:fldChar w:fldCharType="begin"/>
                    </w:r>
                    <w:r>
                      <w:rPr>
                        <w:rFonts w:ascii="Times New Roman"/>
                        <w:i/>
                        <w:color w:val="231F20"/>
                        <w:w w:val="105"/>
                        <w:sz w:val="15"/>
                      </w:rPr>
                      <w:instrText xml:space="preserve"> PAGE </w:instrText>
                    </w:r>
                    <w:r>
                      <w:fldChar w:fldCharType="separate"/>
                    </w:r>
                    <w:r w:rsidR="00756C40">
                      <w:rPr>
                        <w:rFonts w:ascii="Times New Roman"/>
                        <w:i/>
                        <w:noProof/>
                        <w:color w:val="231F20"/>
                        <w:w w:val="105"/>
                        <w:sz w:val="15"/>
                      </w:rPr>
                      <w:t>14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19" w:rsidRDefault="0000321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19" w:rsidRDefault="0000321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C1C"/>
    <w:multiLevelType w:val="hybridMultilevel"/>
    <w:tmpl w:val="564E6D88"/>
    <w:lvl w:ilvl="0" w:tplc="5E72A4B4">
      <w:numFmt w:val="bullet"/>
      <w:lvlText w:val=""/>
      <w:lvlJc w:val="left"/>
      <w:pPr>
        <w:ind w:left="302" w:hanging="151"/>
      </w:pPr>
      <w:rPr>
        <w:rFonts w:ascii="Symbol" w:eastAsia="Symbol" w:hAnsi="Symbol" w:cs="Symbol" w:hint="default"/>
        <w:color w:val="231F20"/>
        <w:w w:val="101"/>
        <w:sz w:val="19"/>
        <w:szCs w:val="19"/>
        <w:lang w:val="en-US" w:eastAsia="en-US" w:bidi="ar-SA"/>
      </w:rPr>
    </w:lvl>
    <w:lvl w:ilvl="1" w:tplc="FBC8ED9C">
      <w:numFmt w:val="bullet"/>
      <w:lvlText w:val="•"/>
      <w:lvlJc w:val="left"/>
      <w:pPr>
        <w:ind w:left="332" w:hanging="151"/>
      </w:pPr>
      <w:rPr>
        <w:rFonts w:hint="default"/>
        <w:lang w:val="en-US" w:eastAsia="en-US" w:bidi="ar-SA"/>
      </w:rPr>
    </w:lvl>
    <w:lvl w:ilvl="2" w:tplc="1F705C98">
      <w:numFmt w:val="bullet"/>
      <w:lvlText w:val="•"/>
      <w:lvlJc w:val="left"/>
      <w:pPr>
        <w:ind w:left="364" w:hanging="151"/>
      </w:pPr>
      <w:rPr>
        <w:rFonts w:hint="default"/>
        <w:lang w:val="en-US" w:eastAsia="en-US" w:bidi="ar-SA"/>
      </w:rPr>
    </w:lvl>
    <w:lvl w:ilvl="3" w:tplc="AB38189C">
      <w:numFmt w:val="bullet"/>
      <w:lvlText w:val="•"/>
      <w:lvlJc w:val="left"/>
      <w:pPr>
        <w:ind w:left="396" w:hanging="151"/>
      </w:pPr>
      <w:rPr>
        <w:rFonts w:hint="default"/>
        <w:lang w:val="en-US" w:eastAsia="en-US" w:bidi="ar-SA"/>
      </w:rPr>
    </w:lvl>
    <w:lvl w:ilvl="4" w:tplc="67D488A8">
      <w:numFmt w:val="bullet"/>
      <w:lvlText w:val="•"/>
      <w:lvlJc w:val="left"/>
      <w:pPr>
        <w:ind w:left="428" w:hanging="151"/>
      </w:pPr>
      <w:rPr>
        <w:rFonts w:hint="default"/>
        <w:lang w:val="en-US" w:eastAsia="en-US" w:bidi="ar-SA"/>
      </w:rPr>
    </w:lvl>
    <w:lvl w:ilvl="5" w:tplc="138A0D1C">
      <w:numFmt w:val="bullet"/>
      <w:lvlText w:val="•"/>
      <w:lvlJc w:val="left"/>
      <w:pPr>
        <w:ind w:left="460" w:hanging="151"/>
      </w:pPr>
      <w:rPr>
        <w:rFonts w:hint="default"/>
        <w:lang w:val="en-US" w:eastAsia="en-US" w:bidi="ar-SA"/>
      </w:rPr>
    </w:lvl>
    <w:lvl w:ilvl="6" w:tplc="59603B54">
      <w:numFmt w:val="bullet"/>
      <w:lvlText w:val="•"/>
      <w:lvlJc w:val="left"/>
      <w:pPr>
        <w:ind w:left="492" w:hanging="151"/>
      </w:pPr>
      <w:rPr>
        <w:rFonts w:hint="default"/>
        <w:lang w:val="en-US" w:eastAsia="en-US" w:bidi="ar-SA"/>
      </w:rPr>
    </w:lvl>
    <w:lvl w:ilvl="7" w:tplc="586A5488">
      <w:numFmt w:val="bullet"/>
      <w:lvlText w:val="•"/>
      <w:lvlJc w:val="left"/>
      <w:pPr>
        <w:ind w:left="524" w:hanging="151"/>
      </w:pPr>
      <w:rPr>
        <w:rFonts w:hint="default"/>
        <w:lang w:val="en-US" w:eastAsia="en-US" w:bidi="ar-SA"/>
      </w:rPr>
    </w:lvl>
    <w:lvl w:ilvl="8" w:tplc="5088C3A4">
      <w:numFmt w:val="bullet"/>
      <w:lvlText w:val="•"/>
      <w:lvlJc w:val="left"/>
      <w:pPr>
        <w:ind w:left="556" w:hanging="151"/>
      </w:pPr>
      <w:rPr>
        <w:rFonts w:hint="default"/>
        <w:lang w:val="en-US" w:eastAsia="en-US" w:bidi="ar-SA"/>
      </w:rPr>
    </w:lvl>
  </w:abstractNum>
  <w:abstractNum w:abstractNumId="1" w15:restartNumberingAfterBreak="0">
    <w:nsid w:val="31357297"/>
    <w:multiLevelType w:val="hybridMultilevel"/>
    <w:tmpl w:val="AB7C3DFE"/>
    <w:lvl w:ilvl="0" w:tplc="ADCABA48">
      <w:start w:val="1"/>
      <w:numFmt w:val="decimal"/>
      <w:lvlText w:val="%1."/>
      <w:lvlJc w:val="left"/>
      <w:pPr>
        <w:ind w:left="130" w:hanging="321"/>
        <w:jc w:val="left"/>
      </w:pPr>
      <w:rPr>
        <w:rFonts w:ascii="Arial" w:eastAsia="Arial" w:hAnsi="Arial" w:cs="Arial" w:hint="default"/>
        <w:color w:val="231F20"/>
        <w:spacing w:val="-1"/>
        <w:w w:val="102"/>
        <w:sz w:val="17"/>
        <w:szCs w:val="17"/>
        <w:lang w:val="en-US" w:eastAsia="en-US" w:bidi="ar-SA"/>
      </w:rPr>
    </w:lvl>
    <w:lvl w:ilvl="1" w:tplc="03204720">
      <w:numFmt w:val="bullet"/>
      <w:lvlText w:val="•"/>
      <w:lvlJc w:val="left"/>
      <w:pPr>
        <w:ind w:left="634" w:hanging="321"/>
      </w:pPr>
      <w:rPr>
        <w:rFonts w:hint="default"/>
        <w:lang w:val="en-US" w:eastAsia="en-US" w:bidi="ar-SA"/>
      </w:rPr>
    </w:lvl>
    <w:lvl w:ilvl="2" w:tplc="18A82BE6">
      <w:numFmt w:val="bullet"/>
      <w:lvlText w:val="•"/>
      <w:lvlJc w:val="left"/>
      <w:pPr>
        <w:ind w:left="1129" w:hanging="321"/>
      </w:pPr>
      <w:rPr>
        <w:rFonts w:hint="default"/>
        <w:lang w:val="en-US" w:eastAsia="en-US" w:bidi="ar-SA"/>
      </w:rPr>
    </w:lvl>
    <w:lvl w:ilvl="3" w:tplc="961402FA">
      <w:numFmt w:val="bullet"/>
      <w:lvlText w:val="•"/>
      <w:lvlJc w:val="left"/>
      <w:pPr>
        <w:ind w:left="1623" w:hanging="321"/>
      </w:pPr>
      <w:rPr>
        <w:rFonts w:hint="default"/>
        <w:lang w:val="en-US" w:eastAsia="en-US" w:bidi="ar-SA"/>
      </w:rPr>
    </w:lvl>
    <w:lvl w:ilvl="4" w:tplc="82300E76">
      <w:numFmt w:val="bullet"/>
      <w:lvlText w:val="•"/>
      <w:lvlJc w:val="left"/>
      <w:pPr>
        <w:ind w:left="2118" w:hanging="321"/>
      </w:pPr>
      <w:rPr>
        <w:rFonts w:hint="default"/>
        <w:lang w:val="en-US" w:eastAsia="en-US" w:bidi="ar-SA"/>
      </w:rPr>
    </w:lvl>
    <w:lvl w:ilvl="5" w:tplc="263A0A28">
      <w:numFmt w:val="bullet"/>
      <w:lvlText w:val="•"/>
      <w:lvlJc w:val="left"/>
      <w:pPr>
        <w:ind w:left="2612" w:hanging="321"/>
      </w:pPr>
      <w:rPr>
        <w:rFonts w:hint="default"/>
        <w:lang w:val="en-US" w:eastAsia="en-US" w:bidi="ar-SA"/>
      </w:rPr>
    </w:lvl>
    <w:lvl w:ilvl="6" w:tplc="05D05CD0">
      <w:numFmt w:val="bullet"/>
      <w:lvlText w:val="•"/>
      <w:lvlJc w:val="left"/>
      <w:pPr>
        <w:ind w:left="3107" w:hanging="321"/>
      </w:pPr>
      <w:rPr>
        <w:rFonts w:hint="default"/>
        <w:lang w:val="en-US" w:eastAsia="en-US" w:bidi="ar-SA"/>
      </w:rPr>
    </w:lvl>
    <w:lvl w:ilvl="7" w:tplc="1118205A">
      <w:numFmt w:val="bullet"/>
      <w:lvlText w:val="•"/>
      <w:lvlJc w:val="left"/>
      <w:pPr>
        <w:ind w:left="3601" w:hanging="321"/>
      </w:pPr>
      <w:rPr>
        <w:rFonts w:hint="default"/>
        <w:lang w:val="en-US" w:eastAsia="en-US" w:bidi="ar-SA"/>
      </w:rPr>
    </w:lvl>
    <w:lvl w:ilvl="8" w:tplc="A48406B2">
      <w:numFmt w:val="bullet"/>
      <w:lvlText w:val="•"/>
      <w:lvlJc w:val="left"/>
      <w:pPr>
        <w:ind w:left="4096" w:hanging="321"/>
      </w:pPr>
      <w:rPr>
        <w:rFonts w:hint="default"/>
        <w:lang w:val="en-US" w:eastAsia="en-US" w:bidi="ar-SA"/>
      </w:rPr>
    </w:lvl>
  </w:abstractNum>
  <w:abstractNum w:abstractNumId="2" w15:restartNumberingAfterBreak="0">
    <w:nsid w:val="36D84CC7"/>
    <w:multiLevelType w:val="hybridMultilevel"/>
    <w:tmpl w:val="70A6321C"/>
    <w:lvl w:ilvl="0" w:tplc="80D83DDA">
      <w:numFmt w:val="bullet"/>
      <w:lvlText w:val="•"/>
      <w:lvlJc w:val="left"/>
      <w:pPr>
        <w:ind w:left="720" w:hanging="360"/>
      </w:pPr>
      <w:rPr>
        <w:rFonts w:ascii="Arial" w:eastAsia="Arial" w:hAnsi="Arial" w:cs="Arial" w:hint="default"/>
        <w:color w:val="231F20"/>
        <w:w w:val="102"/>
        <w:sz w:val="17"/>
        <w:szCs w:val="17"/>
        <w:lang w:val="en-US"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79C1BEB"/>
    <w:multiLevelType w:val="hybridMultilevel"/>
    <w:tmpl w:val="7F22E100"/>
    <w:lvl w:ilvl="0" w:tplc="80D83DDA">
      <w:numFmt w:val="bullet"/>
      <w:lvlText w:val="•"/>
      <w:lvlJc w:val="left"/>
      <w:pPr>
        <w:ind w:left="410" w:hanging="110"/>
      </w:pPr>
      <w:rPr>
        <w:rFonts w:ascii="Arial" w:eastAsia="Arial" w:hAnsi="Arial" w:cs="Arial" w:hint="default"/>
        <w:color w:val="231F20"/>
        <w:w w:val="102"/>
        <w:sz w:val="17"/>
        <w:szCs w:val="17"/>
        <w:lang w:val="en-US" w:eastAsia="en-US" w:bidi="ar-SA"/>
      </w:rPr>
    </w:lvl>
    <w:lvl w:ilvl="1" w:tplc="53488BE2">
      <w:numFmt w:val="bullet"/>
      <w:lvlText w:val="•"/>
      <w:lvlJc w:val="left"/>
      <w:pPr>
        <w:ind w:left="886" w:hanging="110"/>
      </w:pPr>
      <w:rPr>
        <w:rFonts w:hint="default"/>
        <w:lang w:val="en-US" w:eastAsia="en-US" w:bidi="ar-SA"/>
      </w:rPr>
    </w:lvl>
    <w:lvl w:ilvl="2" w:tplc="F13EA180">
      <w:numFmt w:val="bullet"/>
      <w:lvlText w:val="•"/>
      <w:lvlJc w:val="left"/>
      <w:pPr>
        <w:ind w:left="1353" w:hanging="110"/>
      </w:pPr>
      <w:rPr>
        <w:rFonts w:hint="default"/>
        <w:lang w:val="en-US" w:eastAsia="en-US" w:bidi="ar-SA"/>
      </w:rPr>
    </w:lvl>
    <w:lvl w:ilvl="3" w:tplc="499AFFB2">
      <w:numFmt w:val="bullet"/>
      <w:lvlText w:val="•"/>
      <w:lvlJc w:val="left"/>
      <w:pPr>
        <w:ind w:left="1819" w:hanging="110"/>
      </w:pPr>
      <w:rPr>
        <w:rFonts w:hint="default"/>
        <w:lang w:val="en-US" w:eastAsia="en-US" w:bidi="ar-SA"/>
      </w:rPr>
    </w:lvl>
    <w:lvl w:ilvl="4" w:tplc="FE1C0EC4">
      <w:numFmt w:val="bullet"/>
      <w:lvlText w:val="•"/>
      <w:lvlJc w:val="left"/>
      <w:pPr>
        <w:ind w:left="2286" w:hanging="110"/>
      </w:pPr>
      <w:rPr>
        <w:rFonts w:hint="default"/>
        <w:lang w:val="en-US" w:eastAsia="en-US" w:bidi="ar-SA"/>
      </w:rPr>
    </w:lvl>
    <w:lvl w:ilvl="5" w:tplc="CEA2DD0C">
      <w:numFmt w:val="bullet"/>
      <w:lvlText w:val="•"/>
      <w:lvlJc w:val="left"/>
      <w:pPr>
        <w:ind w:left="2752" w:hanging="110"/>
      </w:pPr>
      <w:rPr>
        <w:rFonts w:hint="default"/>
        <w:lang w:val="en-US" w:eastAsia="en-US" w:bidi="ar-SA"/>
      </w:rPr>
    </w:lvl>
    <w:lvl w:ilvl="6" w:tplc="D5F6F544">
      <w:numFmt w:val="bullet"/>
      <w:lvlText w:val="•"/>
      <w:lvlJc w:val="left"/>
      <w:pPr>
        <w:ind w:left="3219" w:hanging="110"/>
      </w:pPr>
      <w:rPr>
        <w:rFonts w:hint="default"/>
        <w:lang w:val="en-US" w:eastAsia="en-US" w:bidi="ar-SA"/>
      </w:rPr>
    </w:lvl>
    <w:lvl w:ilvl="7" w:tplc="C94AAB12">
      <w:numFmt w:val="bullet"/>
      <w:lvlText w:val="•"/>
      <w:lvlJc w:val="left"/>
      <w:pPr>
        <w:ind w:left="3685" w:hanging="110"/>
      </w:pPr>
      <w:rPr>
        <w:rFonts w:hint="default"/>
        <w:lang w:val="en-US" w:eastAsia="en-US" w:bidi="ar-SA"/>
      </w:rPr>
    </w:lvl>
    <w:lvl w:ilvl="8" w:tplc="856AA3D2">
      <w:numFmt w:val="bullet"/>
      <w:lvlText w:val="•"/>
      <w:lvlJc w:val="left"/>
      <w:pPr>
        <w:ind w:left="4152" w:hanging="110"/>
      </w:pPr>
      <w:rPr>
        <w:rFonts w:hint="default"/>
        <w:lang w:val="en-US" w:eastAsia="en-US" w:bidi="ar-SA"/>
      </w:rPr>
    </w:lvl>
  </w:abstractNum>
  <w:abstractNum w:abstractNumId="4" w15:restartNumberingAfterBreak="0">
    <w:nsid w:val="3AD06E1B"/>
    <w:multiLevelType w:val="hybridMultilevel"/>
    <w:tmpl w:val="85905372"/>
    <w:lvl w:ilvl="0" w:tplc="04210001">
      <w:start w:val="1"/>
      <w:numFmt w:val="bullet"/>
      <w:lvlText w:val=""/>
      <w:lvlJc w:val="left"/>
      <w:pPr>
        <w:ind w:left="850" w:hanging="360"/>
      </w:pPr>
      <w:rPr>
        <w:rFonts w:ascii="Symbol" w:hAnsi="Symbol"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5" w15:restartNumberingAfterBreak="0">
    <w:nsid w:val="41DE23D6"/>
    <w:multiLevelType w:val="hybridMultilevel"/>
    <w:tmpl w:val="E95E62D8"/>
    <w:lvl w:ilvl="0" w:tplc="80D83DDA">
      <w:numFmt w:val="bullet"/>
      <w:lvlText w:val="•"/>
      <w:lvlJc w:val="left"/>
      <w:pPr>
        <w:ind w:left="850" w:hanging="360"/>
      </w:pPr>
      <w:rPr>
        <w:rFonts w:ascii="Arial" w:eastAsia="Arial" w:hAnsi="Arial" w:cs="Arial" w:hint="default"/>
        <w:color w:val="231F20"/>
        <w:w w:val="102"/>
        <w:sz w:val="17"/>
        <w:szCs w:val="17"/>
        <w:lang w:val="en-US" w:eastAsia="en-US" w:bidi="ar-SA"/>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6" w15:restartNumberingAfterBreak="0">
    <w:nsid w:val="50B91D45"/>
    <w:multiLevelType w:val="hybridMultilevel"/>
    <w:tmpl w:val="124643B4"/>
    <w:lvl w:ilvl="0" w:tplc="80D83DDA">
      <w:numFmt w:val="bullet"/>
      <w:lvlText w:val="•"/>
      <w:lvlJc w:val="left"/>
      <w:pPr>
        <w:ind w:left="850" w:hanging="360"/>
      </w:pPr>
      <w:rPr>
        <w:rFonts w:ascii="Arial" w:eastAsia="Arial" w:hAnsi="Arial" w:cs="Arial" w:hint="default"/>
        <w:color w:val="231F20"/>
        <w:w w:val="102"/>
        <w:sz w:val="17"/>
        <w:szCs w:val="17"/>
        <w:lang w:val="en-US" w:eastAsia="en-US" w:bidi="ar-SA"/>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7" w15:restartNumberingAfterBreak="0">
    <w:nsid w:val="64852029"/>
    <w:multiLevelType w:val="multilevel"/>
    <w:tmpl w:val="F2765B6E"/>
    <w:lvl w:ilvl="0">
      <w:start w:val="1"/>
      <w:numFmt w:val="decimal"/>
      <w:lvlText w:val="%1."/>
      <w:lvlJc w:val="left"/>
      <w:pPr>
        <w:ind w:left="392" w:hanging="262"/>
        <w:jc w:val="left"/>
      </w:pPr>
      <w:rPr>
        <w:rFonts w:ascii="Arial" w:eastAsia="Arial" w:hAnsi="Arial" w:cs="Arial" w:hint="default"/>
        <w:b/>
        <w:bCs/>
        <w:color w:val="231F20"/>
        <w:w w:val="101"/>
        <w:sz w:val="23"/>
        <w:szCs w:val="23"/>
        <w:lang w:val="en-US" w:eastAsia="en-US" w:bidi="ar-SA"/>
      </w:rPr>
    </w:lvl>
    <w:lvl w:ilvl="1">
      <w:start w:val="1"/>
      <w:numFmt w:val="decimal"/>
      <w:lvlText w:val="%1.%2."/>
      <w:lvlJc w:val="left"/>
      <w:pPr>
        <w:ind w:left="646" w:hanging="378"/>
        <w:jc w:val="left"/>
      </w:pPr>
      <w:rPr>
        <w:rFonts w:ascii="Arial" w:eastAsia="Arial" w:hAnsi="Arial" w:cs="Arial" w:hint="default"/>
        <w:b/>
        <w:bCs/>
        <w:color w:val="231F20"/>
        <w:spacing w:val="-1"/>
        <w:w w:val="102"/>
        <w:sz w:val="19"/>
        <w:szCs w:val="19"/>
        <w:lang w:val="en-US" w:eastAsia="en-US" w:bidi="ar-SA"/>
      </w:rPr>
    </w:lvl>
    <w:lvl w:ilvl="2">
      <w:numFmt w:val="bullet"/>
      <w:lvlText w:val="•"/>
      <w:lvlJc w:val="left"/>
      <w:pPr>
        <w:ind w:left="1108" w:hanging="378"/>
      </w:pPr>
      <w:rPr>
        <w:rFonts w:hint="default"/>
        <w:lang w:val="en-US" w:eastAsia="en-US" w:bidi="ar-SA"/>
      </w:rPr>
    </w:lvl>
    <w:lvl w:ilvl="3">
      <w:numFmt w:val="bullet"/>
      <w:lvlText w:val="•"/>
      <w:lvlJc w:val="left"/>
      <w:pPr>
        <w:ind w:left="1576" w:hanging="378"/>
      </w:pPr>
      <w:rPr>
        <w:rFonts w:hint="default"/>
        <w:lang w:val="en-US" w:eastAsia="en-US" w:bidi="ar-SA"/>
      </w:rPr>
    </w:lvl>
    <w:lvl w:ilvl="4">
      <w:numFmt w:val="bullet"/>
      <w:lvlText w:val="•"/>
      <w:lvlJc w:val="left"/>
      <w:pPr>
        <w:ind w:left="2044" w:hanging="378"/>
      </w:pPr>
      <w:rPr>
        <w:rFonts w:hint="default"/>
        <w:lang w:val="en-US" w:eastAsia="en-US" w:bidi="ar-SA"/>
      </w:rPr>
    </w:lvl>
    <w:lvl w:ilvl="5">
      <w:numFmt w:val="bullet"/>
      <w:lvlText w:val="•"/>
      <w:lvlJc w:val="left"/>
      <w:pPr>
        <w:ind w:left="2513" w:hanging="378"/>
      </w:pPr>
      <w:rPr>
        <w:rFonts w:hint="default"/>
        <w:lang w:val="en-US" w:eastAsia="en-US" w:bidi="ar-SA"/>
      </w:rPr>
    </w:lvl>
    <w:lvl w:ilvl="6">
      <w:numFmt w:val="bullet"/>
      <w:lvlText w:val="•"/>
      <w:lvlJc w:val="left"/>
      <w:pPr>
        <w:ind w:left="2981" w:hanging="378"/>
      </w:pPr>
      <w:rPr>
        <w:rFonts w:hint="default"/>
        <w:lang w:val="en-US" w:eastAsia="en-US" w:bidi="ar-SA"/>
      </w:rPr>
    </w:lvl>
    <w:lvl w:ilvl="7">
      <w:numFmt w:val="bullet"/>
      <w:lvlText w:val="•"/>
      <w:lvlJc w:val="left"/>
      <w:pPr>
        <w:ind w:left="3449" w:hanging="378"/>
      </w:pPr>
      <w:rPr>
        <w:rFonts w:hint="default"/>
        <w:lang w:val="en-US" w:eastAsia="en-US" w:bidi="ar-SA"/>
      </w:rPr>
    </w:lvl>
    <w:lvl w:ilvl="8">
      <w:numFmt w:val="bullet"/>
      <w:lvlText w:val="•"/>
      <w:lvlJc w:val="left"/>
      <w:pPr>
        <w:ind w:left="3917" w:hanging="378"/>
      </w:pPr>
      <w:rPr>
        <w:rFonts w:hint="default"/>
        <w:lang w:val="en-US" w:eastAsia="en-US" w:bidi="ar-SA"/>
      </w:rPr>
    </w:lvl>
  </w:abstractNum>
  <w:abstractNum w:abstractNumId="8" w15:restartNumberingAfterBreak="0">
    <w:nsid w:val="77A537B4"/>
    <w:multiLevelType w:val="hybridMultilevel"/>
    <w:tmpl w:val="6A8CE816"/>
    <w:lvl w:ilvl="0" w:tplc="5C1635DC">
      <w:numFmt w:val="bullet"/>
      <w:lvlText w:val=""/>
      <w:lvlJc w:val="left"/>
      <w:pPr>
        <w:ind w:left="187" w:hanging="154"/>
      </w:pPr>
      <w:rPr>
        <w:rFonts w:hint="default"/>
        <w:w w:val="100"/>
        <w:lang w:val="en-US" w:eastAsia="en-US" w:bidi="ar-SA"/>
      </w:rPr>
    </w:lvl>
    <w:lvl w:ilvl="1" w:tplc="AE405F38">
      <w:numFmt w:val="bullet"/>
      <w:lvlText w:val="•"/>
      <w:lvlJc w:val="left"/>
      <w:pPr>
        <w:ind w:left="235" w:hanging="136"/>
      </w:pPr>
      <w:rPr>
        <w:rFonts w:ascii="Arial" w:eastAsia="Arial" w:hAnsi="Arial" w:cs="Arial" w:hint="default"/>
        <w:color w:val="231F20"/>
        <w:w w:val="102"/>
        <w:sz w:val="17"/>
        <w:szCs w:val="17"/>
        <w:lang w:val="en-US" w:eastAsia="en-US" w:bidi="ar-SA"/>
      </w:rPr>
    </w:lvl>
    <w:lvl w:ilvl="2" w:tplc="52760A5C">
      <w:numFmt w:val="bullet"/>
      <w:lvlText w:val="•"/>
      <w:lvlJc w:val="left"/>
      <w:pPr>
        <w:ind w:left="407" w:hanging="119"/>
      </w:pPr>
      <w:rPr>
        <w:rFonts w:ascii="Arial" w:eastAsia="Arial" w:hAnsi="Arial" w:cs="Arial" w:hint="default"/>
        <w:color w:val="231F20"/>
        <w:w w:val="102"/>
        <w:sz w:val="17"/>
        <w:szCs w:val="17"/>
        <w:lang w:val="en-US" w:eastAsia="en-US" w:bidi="ar-SA"/>
      </w:rPr>
    </w:lvl>
    <w:lvl w:ilvl="3" w:tplc="BAAA8360">
      <w:numFmt w:val="bullet"/>
      <w:lvlText w:val="•"/>
      <w:lvlJc w:val="left"/>
      <w:pPr>
        <w:ind w:left="-132" w:hanging="119"/>
      </w:pPr>
      <w:rPr>
        <w:rFonts w:hint="default"/>
        <w:lang w:val="en-US" w:eastAsia="en-US" w:bidi="ar-SA"/>
      </w:rPr>
    </w:lvl>
    <w:lvl w:ilvl="4" w:tplc="7D8A93E8">
      <w:numFmt w:val="bullet"/>
      <w:lvlText w:val="•"/>
      <w:lvlJc w:val="left"/>
      <w:pPr>
        <w:ind w:left="-664" w:hanging="119"/>
      </w:pPr>
      <w:rPr>
        <w:rFonts w:hint="default"/>
        <w:lang w:val="en-US" w:eastAsia="en-US" w:bidi="ar-SA"/>
      </w:rPr>
    </w:lvl>
    <w:lvl w:ilvl="5" w:tplc="BEB48E78">
      <w:numFmt w:val="bullet"/>
      <w:lvlText w:val="•"/>
      <w:lvlJc w:val="left"/>
      <w:pPr>
        <w:ind w:left="-1196" w:hanging="119"/>
      </w:pPr>
      <w:rPr>
        <w:rFonts w:hint="default"/>
        <w:lang w:val="en-US" w:eastAsia="en-US" w:bidi="ar-SA"/>
      </w:rPr>
    </w:lvl>
    <w:lvl w:ilvl="6" w:tplc="25744DC0">
      <w:numFmt w:val="bullet"/>
      <w:lvlText w:val="•"/>
      <w:lvlJc w:val="left"/>
      <w:pPr>
        <w:ind w:left="-1728" w:hanging="119"/>
      </w:pPr>
      <w:rPr>
        <w:rFonts w:hint="default"/>
        <w:lang w:val="en-US" w:eastAsia="en-US" w:bidi="ar-SA"/>
      </w:rPr>
    </w:lvl>
    <w:lvl w:ilvl="7" w:tplc="30743012">
      <w:numFmt w:val="bullet"/>
      <w:lvlText w:val="•"/>
      <w:lvlJc w:val="left"/>
      <w:pPr>
        <w:ind w:left="-2260" w:hanging="119"/>
      </w:pPr>
      <w:rPr>
        <w:rFonts w:hint="default"/>
        <w:lang w:val="en-US" w:eastAsia="en-US" w:bidi="ar-SA"/>
      </w:rPr>
    </w:lvl>
    <w:lvl w:ilvl="8" w:tplc="69CA0846">
      <w:numFmt w:val="bullet"/>
      <w:lvlText w:val="•"/>
      <w:lvlJc w:val="left"/>
      <w:pPr>
        <w:ind w:left="-2792" w:hanging="119"/>
      </w:pPr>
      <w:rPr>
        <w:rFonts w:hint="default"/>
        <w:lang w:val="en-US" w:eastAsia="en-US" w:bidi="ar-SA"/>
      </w:rPr>
    </w:lvl>
  </w:abstractNum>
  <w:num w:numId="1">
    <w:abstractNumId w:val="3"/>
  </w:num>
  <w:num w:numId="2">
    <w:abstractNumId w:val="1"/>
  </w:num>
  <w:num w:numId="3">
    <w:abstractNumId w:val="0"/>
  </w:num>
  <w:num w:numId="4">
    <w:abstractNumId w:val="8"/>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19"/>
    <w:rsid w:val="00003219"/>
    <w:rsid w:val="000052EA"/>
    <w:rsid w:val="00017ABD"/>
    <w:rsid w:val="00030089"/>
    <w:rsid w:val="00051152"/>
    <w:rsid w:val="00080649"/>
    <w:rsid w:val="00083647"/>
    <w:rsid w:val="00085EE6"/>
    <w:rsid w:val="00087131"/>
    <w:rsid w:val="00094EF0"/>
    <w:rsid w:val="00096E08"/>
    <w:rsid w:val="000B585C"/>
    <w:rsid w:val="000C4503"/>
    <w:rsid w:val="000F1468"/>
    <w:rsid w:val="00122C1D"/>
    <w:rsid w:val="00130CC3"/>
    <w:rsid w:val="00131B24"/>
    <w:rsid w:val="00140A0A"/>
    <w:rsid w:val="0014335F"/>
    <w:rsid w:val="00163FE1"/>
    <w:rsid w:val="00167103"/>
    <w:rsid w:val="001720FD"/>
    <w:rsid w:val="00177E2E"/>
    <w:rsid w:val="00186157"/>
    <w:rsid w:val="001A27E5"/>
    <w:rsid w:val="001A4700"/>
    <w:rsid w:val="001A51C7"/>
    <w:rsid w:val="001B4D9F"/>
    <w:rsid w:val="001C074B"/>
    <w:rsid w:val="001C0E0C"/>
    <w:rsid w:val="001F1B43"/>
    <w:rsid w:val="00240408"/>
    <w:rsid w:val="00267B54"/>
    <w:rsid w:val="002A5BD3"/>
    <w:rsid w:val="002B7F90"/>
    <w:rsid w:val="002D0BCA"/>
    <w:rsid w:val="00313619"/>
    <w:rsid w:val="003348DA"/>
    <w:rsid w:val="00341D13"/>
    <w:rsid w:val="0035062A"/>
    <w:rsid w:val="003603F0"/>
    <w:rsid w:val="00360564"/>
    <w:rsid w:val="003626DD"/>
    <w:rsid w:val="00390BE1"/>
    <w:rsid w:val="003A7E5E"/>
    <w:rsid w:val="003A7F6E"/>
    <w:rsid w:val="003B36CD"/>
    <w:rsid w:val="003F4DB3"/>
    <w:rsid w:val="004018D9"/>
    <w:rsid w:val="00403996"/>
    <w:rsid w:val="00412699"/>
    <w:rsid w:val="00427F95"/>
    <w:rsid w:val="00462D36"/>
    <w:rsid w:val="004819A3"/>
    <w:rsid w:val="004B5D61"/>
    <w:rsid w:val="004F1501"/>
    <w:rsid w:val="005102CB"/>
    <w:rsid w:val="005114CB"/>
    <w:rsid w:val="00511DBB"/>
    <w:rsid w:val="00516217"/>
    <w:rsid w:val="00545E02"/>
    <w:rsid w:val="005A26A8"/>
    <w:rsid w:val="005A386E"/>
    <w:rsid w:val="005A51BD"/>
    <w:rsid w:val="005A69EF"/>
    <w:rsid w:val="005A71D3"/>
    <w:rsid w:val="005B788C"/>
    <w:rsid w:val="005C0249"/>
    <w:rsid w:val="006173BE"/>
    <w:rsid w:val="0064523C"/>
    <w:rsid w:val="00653E01"/>
    <w:rsid w:val="00664E67"/>
    <w:rsid w:val="00666D7E"/>
    <w:rsid w:val="00697051"/>
    <w:rsid w:val="006A55AC"/>
    <w:rsid w:val="006B0314"/>
    <w:rsid w:val="006D1B4B"/>
    <w:rsid w:val="006D5558"/>
    <w:rsid w:val="006F42EC"/>
    <w:rsid w:val="006F51C9"/>
    <w:rsid w:val="007202F3"/>
    <w:rsid w:val="00756C40"/>
    <w:rsid w:val="00791B5A"/>
    <w:rsid w:val="00792286"/>
    <w:rsid w:val="007B0566"/>
    <w:rsid w:val="007B0BF0"/>
    <w:rsid w:val="007D5003"/>
    <w:rsid w:val="007D72C1"/>
    <w:rsid w:val="007F6AA8"/>
    <w:rsid w:val="00800F1F"/>
    <w:rsid w:val="008352EC"/>
    <w:rsid w:val="0085150B"/>
    <w:rsid w:val="00880458"/>
    <w:rsid w:val="008D0B7C"/>
    <w:rsid w:val="0090474A"/>
    <w:rsid w:val="00913795"/>
    <w:rsid w:val="009637D2"/>
    <w:rsid w:val="00987A4F"/>
    <w:rsid w:val="009A00FF"/>
    <w:rsid w:val="009A5EF1"/>
    <w:rsid w:val="009D2AC7"/>
    <w:rsid w:val="009F2784"/>
    <w:rsid w:val="009F4A42"/>
    <w:rsid w:val="00A05D38"/>
    <w:rsid w:val="00A2380D"/>
    <w:rsid w:val="00A43F8B"/>
    <w:rsid w:val="00A53CCD"/>
    <w:rsid w:val="00A56FCD"/>
    <w:rsid w:val="00A57990"/>
    <w:rsid w:val="00A75E42"/>
    <w:rsid w:val="00A9332E"/>
    <w:rsid w:val="00A961F2"/>
    <w:rsid w:val="00A97D4C"/>
    <w:rsid w:val="00AA032D"/>
    <w:rsid w:val="00AB07C5"/>
    <w:rsid w:val="00AD347E"/>
    <w:rsid w:val="00AE48A1"/>
    <w:rsid w:val="00AF1BA4"/>
    <w:rsid w:val="00B35189"/>
    <w:rsid w:val="00B44E57"/>
    <w:rsid w:val="00B92017"/>
    <w:rsid w:val="00BB14DE"/>
    <w:rsid w:val="00BB66BF"/>
    <w:rsid w:val="00BE4172"/>
    <w:rsid w:val="00BF51B6"/>
    <w:rsid w:val="00C04DEA"/>
    <w:rsid w:val="00C23B16"/>
    <w:rsid w:val="00C45D39"/>
    <w:rsid w:val="00C70335"/>
    <w:rsid w:val="00C86226"/>
    <w:rsid w:val="00CC2589"/>
    <w:rsid w:val="00CC3DDB"/>
    <w:rsid w:val="00CF43E2"/>
    <w:rsid w:val="00D00B96"/>
    <w:rsid w:val="00D144F3"/>
    <w:rsid w:val="00D26F64"/>
    <w:rsid w:val="00D30C5C"/>
    <w:rsid w:val="00D502A4"/>
    <w:rsid w:val="00D56830"/>
    <w:rsid w:val="00D8010D"/>
    <w:rsid w:val="00DA30CA"/>
    <w:rsid w:val="00DA51E6"/>
    <w:rsid w:val="00DA5CE7"/>
    <w:rsid w:val="00DF3D32"/>
    <w:rsid w:val="00E0587D"/>
    <w:rsid w:val="00E06274"/>
    <w:rsid w:val="00E54E77"/>
    <w:rsid w:val="00E67DAC"/>
    <w:rsid w:val="00E71CD4"/>
    <w:rsid w:val="00E72E76"/>
    <w:rsid w:val="00E9350F"/>
    <w:rsid w:val="00EA6C00"/>
    <w:rsid w:val="00ED5F21"/>
    <w:rsid w:val="00F11AF1"/>
    <w:rsid w:val="00F728A9"/>
    <w:rsid w:val="00F76DBE"/>
    <w:rsid w:val="00F8377E"/>
    <w:rsid w:val="00F83B77"/>
    <w:rsid w:val="00F83E27"/>
    <w:rsid w:val="00F9739E"/>
    <w:rsid w:val="00FA20C9"/>
    <w:rsid w:val="00FA233D"/>
    <w:rsid w:val="00FC38A2"/>
    <w:rsid w:val="00FE25D6"/>
    <w:rsid w:val="00FF552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FD952-D3C8-4698-868A-A4E5BAFC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0" w:hanging="261"/>
      <w:outlineLvl w:val="0"/>
    </w:pPr>
    <w:rPr>
      <w:b/>
      <w:bCs/>
      <w:sz w:val="23"/>
      <w:szCs w:val="23"/>
    </w:rPr>
  </w:style>
  <w:style w:type="paragraph" w:styleId="Heading2">
    <w:name w:val="heading 2"/>
    <w:basedOn w:val="Normal"/>
    <w:link w:val="Heading2Char"/>
    <w:uiPriority w:val="1"/>
    <w:qFormat/>
    <w:pPr>
      <w:ind w:left="268"/>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Title">
    <w:name w:val="Title"/>
    <w:basedOn w:val="Normal"/>
    <w:uiPriority w:val="1"/>
    <w:qFormat/>
    <w:pPr>
      <w:spacing w:before="138"/>
      <w:ind w:left="321" w:right="458"/>
      <w:jc w:val="center"/>
    </w:pPr>
    <w:rPr>
      <w:rFonts w:ascii="Times New Roman" w:eastAsia="Times New Roman" w:hAnsi="Times New Roman" w:cs="Times New Roman"/>
      <w:b/>
      <w:bCs/>
      <w:sz w:val="29"/>
      <w:szCs w:val="29"/>
    </w:rPr>
  </w:style>
  <w:style w:type="paragraph" w:styleId="ListParagraph">
    <w:name w:val="List Paragraph"/>
    <w:basedOn w:val="Normal"/>
    <w:uiPriority w:val="1"/>
    <w:qFormat/>
    <w:pPr>
      <w:ind w:left="390" w:hanging="261"/>
    </w:pPr>
  </w:style>
  <w:style w:type="paragraph" w:customStyle="1" w:styleId="TableParagraph">
    <w:name w:val="Table Paragraph"/>
    <w:basedOn w:val="Normal"/>
    <w:uiPriority w:val="1"/>
    <w:qFormat/>
    <w:pPr>
      <w:spacing w:before="26"/>
      <w:ind w:left="62"/>
      <w:jc w:val="center"/>
    </w:pPr>
  </w:style>
  <w:style w:type="paragraph" w:styleId="Footer">
    <w:name w:val="footer"/>
    <w:basedOn w:val="Normal"/>
    <w:link w:val="FooterChar"/>
    <w:uiPriority w:val="99"/>
    <w:unhideWhenUsed/>
    <w:rsid w:val="00341D13"/>
    <w:pPr>
      <w:tabs>
        <w:tab w:val="center" w:pos="4513"/>
        <w:tab w:val="right" w:pos="9026"/>
      </w:tabs>
    </w:pPr>
  </w:style>
  <w:style w:type="character" w:customStyle="1" w:styleId="FooterChar">
    <w:name w:val="Footer Char"/>
    <w:basedOn w:val="DefaultParagraphFont"/>
    <w:link w:val="Footer"/>
    <w:uiPriority w:val="99"/>
    <w:rsid w:val="00341D13"/>
    <w:rPr>
      <w:rFonts w:ascii="Arial" w:eastAsia="Arial" w:hAnsi="Arial" w:cs="Arial"/>
    </w:rPr>
  </w:style>
  <w:style w:type="paragraph" w:styleId="Header">
    <w:name w:val="header"/>
    <w:basedOn w:val="Normal"/>
    <w:link w:val="HeaderChar"/>
    <w:uiPriority w:val="99"/>
    <w:unhideWhenUsed/>
    <w:rsid w:val="00341D13"/>
    <w:pPr>
      <w:tabs>
        <w:tab w:val="center" w:pos="4513"/>
        <w:tab w:val="right" w:pos="9026"/>
      </w:tabs>
    </w:pPr>
  </w:style>
  <w:style w:type="character" w:customStyle="1" w:styleId="HeaderChar">
    <w:name w:val="Header Char"/>
    <w:basedOn w:val="DefaultParagraphFont"/>
    <w:link w:val="Header"/>
    <w:uiPriority w:val="99"/>
    <w:rsid w:val="00341D13"/>
    <w:rPr>
      <w:rFonts w:ascii="Arial" w:eastAsia="Arial" w:hAnsi="Arial" w:cs="Arial"/>
    </w:rPr>
  </w:style>
  <w:style w:type="character" w:customStyle="1" w:styleId="Heading2Char">
    <w:name w:val="Heading 2 Char"/>
    <w:basedOn w:val="DefaultParagraphFont"/>
    <w:link w:val="Heading2"/>
    <w:uiPriority w:val="1"/>
    <w:rsid w:val="005A71D3"/>
    <w:rPr>
      <w:rFonts w:ascii="Arial" w:eastAsia="Arial" w:hAnsi="Arial" w:cs="Arial"/>
      <w:b/>
      <w:bCs/>
      <w:sz w:val="19"/>
      <w:szCs w:val="19"/>
    </w:rPr>
  </w:style>
  <w:style w:type="character" w:customStyle="1" w:styleId="BodyTextChar">
    <w:name w:val="Body Text Char"/>
    <w:basedOn w:val="DefaultParagraphFont"/>
    <w:link w:val="BodyText"/>
    <w:uiPriority w:val="1"/>
    <w:rsid w:val="005A71D3"/>
    <w:rPr>
      <w:rFonts w:ascii="Arial" w:eastAsia="Arial" w:hAnsi="Arial" w:cs="Arial"/>
      <w:sz w:val="17"/>
      <w:szCs w:val="17"/>
    </w:rPr>
  </w:style>
  <w:style w:type="paragraph" w:styleId="BalloonText">
    <w:name w:val="Balloon Text"/>
    <w:basedOn w:val="Normal"/>
    <w:link w:val="BalloonTextChar"/>
    <w:uiPriority w:val="99"/>
    <w:semiHidden/>
    <w:unhideWhenUsed/>
    <w:rsid w:val="004F1501"/>
    <w:rPr>
      <w:rFonts w:ascii="Tahoma" w:hAnsi="Tahoma" w:cs="Tahoma"/>
      <w:sz w:val="16"/>
      <w:szCs w:val="16"/>
    </w:rPr>
  </w:style>
  <w:style w:type="character" w:customStyle="1" w:styleId="BalloonTextChar">
    <w:name w:val="Balloon Text Char"/>
    <w:basedOn w:val="DefaultParagraphFont"/>
    <w:link w:val="BalloonText"/>
    <w:uiPriority w:val="99"/>
    <w:semiHidden/>
    <w:rsid w:val="004F1501"/>
    <w:rPr>
      <w:rFonts w:ascii="Tahoma" w:eastAsia="Arial" w:hAnsi="Tahoma" w:cs="Tahoma"/>
      <w:sz w:val="16"/>
      <w:szCs w:val="16"/>
    </w:rPr>
  </w:style>
  <w:style w:type="character" w:styleId="Hyperlink">
    <w:name w:val="Hyperlink"/>
    <w:basedOn w:val="DefaultParagraphFont"/>
    <w:uiPriority w:val="99"/>
    <w:unhideWhenUsed/>
    <w:rsid w:val="000F1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4.xml"/><Relationship Id="rId18" Type="http://schemas.openxmlformats.org/officeDocument/2006/relationships/hyperlink" Target="http://siteresources.worldbank.org/EXTEXPCOMNET/Resources/2463593-1213975515123/17_Weis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hyperlink" Target="http://saneinetwork.net/Files/02_05.pdf"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700"/>
                </a:pPr>
                <a:endParaRPr lang="en-US"/>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'DISTIRBUSI STRUKTUR SEKTOR'!$A$19:$A$21</c:f>
              <c:strCache>
                <c:ptCount val="3"/>
                <c:pt idx="0">
                  <c:v>Primary sector</c:v>
                </c:pt>
                <c:pt idx="1">
                  <c:v>Secondary sector</c:v>
                </c:pt>
                <c:pt idx="2">
                  <c:v>Tertiary sector</c:v>
                </c:pt>
              </c:strCache>
            </c:strRef>
          </c:cat>
          <c:val>
            <c:numRef>
              <c:f>'DISTIRBUSI STRUKTUR SEKTOR'!$B$19:$B$21</c:f>
              <c:numCache>
                <c:formatCode>0.00%</c:formatCode>
                <c:ptCount val="3"/>
                <c:pt idx="0">
                  <c:v>0.53380472581558913</c:v>
                </c:pt>
                <c:pt idx="1">
                  <c:v>0.2278</c:v>
                </c:pt>
                <c:pt idx="2">
                  <c:v>0.2384</c:v>
                </c:pt>
              </c:numCache>
            </c:numRef>
          </c:val>
          <c:extLst>
            <c:ext xmlns:c16="http://schemas.microsoft.com/office/drawing/2014/chart" uri="{C3380CC4-5D6E-409C-BE32-E72D297353CC}">
              <c16:uniqueId val="{00000000-CC81-4538-8BA2-559322CC765F}"/>
            </c:ext>
          </c:extLst>
        </c:ser>
        <c:dLbls>
          <c:dLblPos val="ctr"/>
          <c:showLegendKey val="0"/>
          <c:showVal val="0"/>
          <c:showCatName val="0"/>
          <c:showSerName val="0"/>
          <c:showPercent val="1"/>
          <c:showBubbleSize val="0"/>
          <c:showLeaderLines val="1"/>
        </c:dLbls>
      </c:pie3DChart>
    </c:plotArea>
    <c:legend>
      <c:legendPos val="r"/>
      <c:overlay val="0"/>
      <c:txPr>
        <a:bodyPr/>
        <a:lstStyle/>
        <a:p>
          <a:pPr>
            <a:defRPr sz="700" b="0"/>
          </a:pPr>
          <a:endParaRPr lang="en-US"/>
        </a:p>
      </c:txPr>
    </c:legend>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327222741225143"/>
          <c:y val="5.6586928805918431E-2"/>
          <c:w val="0.84333794207927404"/>
          <c:h val="0.81021263386621134"/>
        </c:manualLayout>
      </c:layout>
      <c:bar3DChart>
        <c:barDir val="col"/>
        <c:grouping val="clustered"/>
        <c:varyColors val="0"/>
        <c:ser>
          <c:idx val="0"/>
          <c:order val="0"/>
          <c:tx>
            <c:strRef>
              <c:f>'D:\ (E)\ALL-REVISI TESIS\TESIS-ROAD TO UJIAN-YOHANIS-FEB 2016\DATA PENUNJANG PENELITIAN\[DATA POKOK PENELITIAN.xlsx]Gambaran Umum Penelitian'!$B$75</c:f>
              <c:strCache>
                <c:ptCount val="1"/>
                <c:pt idx="0">
                  <c:v>GRDP(Billion IDR)</c:v>
                </c:pt>
              </c:strCache>
            </c:strRef>
          </c:tx>
          <c:invertIfNegative val="0"/>
          <c:dLbls>
            <c:delete val="1"/>
          </c:dLbls>
          <c:cat>
            <c:numRef>
              <c:f>'D:\ (E)\ALL-REVISI TESIS\TESIS-ROAD TO UJIAN-YOHANIS-FEB 2016\DATA PENUNJANG PENELITIAN\[DATA POKOK PENELITIAN.xlsx]Gambaran Umum Penelitian'!$A$76:$A$85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'D:\ (E)\ALL-REVISI TESIS\TESIS-ROAD TO UJIAN-YOHANIS-FEB 2016\DATA PENUNJANG PENELITIAN\[DATA POKOK PENELITIAN.xlsx]Gambaran Umum Penelitian'!$B$76:$B$85</c:f>
              <c:numCache>
                <c:formatCode>General</c:formatCode>
                <c:ptCount val="10"/>
                <c:pt idx="0">
                  <c:v>454183</c:v>
                </c:pt>
                <c:pt idx="1">
                  <c:v>470671</c:v>
                </c:pt>
                <c:pt idx="2">
                  <c:v>485133</c:v>
                </c:pt>
                <c:pt idx="3">
                  <c:v>515764</c:v>
                </c:pt>
                <c:pt idx="4">
                  <c:v>557196</c:v>
                </c:pt>
                <c:pt idx="5">
                  <c:v>607084</c:v>
                </c:pt>
                <c:pt idx="6">
                  <c:v>693737</c:v>
                </c:pt>
                <c:pt idx="7">
                  <c:v>772461</c:v>
                </c:pt>
                <c:pt idx="8">
                  <c:v>858802</c:v>
                </c:pt>
                <c:pt idx="9">
                  <c:v>936311</c:v>
                </c:pt>
              </c:numCache>
            </c:numRef>
          </c:val>
          <c:extLst>
            <c:ext xmlns:c16="http://schemas.microsoft.com/office/drawing/2014/chart" uri="{C3380CC4-5D6E-409C-BE32-E72D297353CC}">
              <c16:uniqueId val="{00000000-54FD-416A-BE42-63D4756058E3}"/>
            </c:ext>
          </c:extLst>
        </c:ser>
        <c:dLbls>
          <c:showLegendKey val="0"/>
          <c:showVal val="1"/>
          <c:showCatName val="0"/>
          <c:showSerName val="0"/>
          <c:showPercent val="0"/>
          <c:showBubbleSize val="0"/>
        </c:dLbls>
        <c:gapWidth val="150"/>
        <c:shape val="cylinder"/>
        <c:axId val="185698944"/>
        <c:axId val="185700736"/>
        <c:axId val="0"/>
      </c:bar3DChart>
      <c:catAx>
        <c:axId val="185698944"/>
        <c:scaling>
          <c:orientation val="minMax"/>
        </c:scaling>
        <c:delete val="0"/>
        <c:axPos val="b"/>
        <c:numFmt formatCode="General" sourceLinked="1"/>
        <c:majorTickMark val="out"/>
        <c:minorTickMark val="none"/>
        <c:tickLblPos val="nextTo"/>
        <c:txPr>
          <a:bodyPr/>
          <a:lstStyle/>
          <a:p>
            <a:pPr>
              <a:defRPr sz="700" i="1"/>
            </a:pPr>
            <a:endParaRPr lang="en-US"/>
          </a:p>
        </c:txPr>
        <c:crossAx val="185700736"/>
        <c:crosses val="autoZero"/>
        <c:auto val="1"/>
        <c:lblAlgn val="ctr"/>
        <c:lblOffset val="100"/>
        <c:noMultiLvlLbl val="0"/>
      </c:catAx>
      <c:valAx>
        <c:axId val="185700736"/>
        <c:scaling>
          <c:orientation val="minMax"/>
        </c:scaling>
        <c:delete val="0"/>
        <c:axPos val="l"/>
        <c:majorGridlines/>
        <c:numFmt formatCode="General" sourceLinked="1"/>
        <c:majorTickMark val="out"/>
        <c:minorTickMark val="none"/>
        <c:tickLblPos val="nextTo"/>
        <c:txPr>
          <a:bodyPr/>
          <a:lstStyle/>
          <a:p>
            <a:pPr>
              <a:defRPr sz="700"/>
            </a:pPr>
            <a:endParaRPr lang="en-US"/>
          </a:p>
        </c:txPr>
        <c:crossAx val="185698944"/>
        <c:crosses val="autoZero"/>
        <c:crossBetween val="between"/>
      </c:valAx>
    </c:plotArea>
    <c:plotVisOnly val="1"/>
    <c:dispBlanksAs val="gap"/>
    <c:showDLblsOverMax val="0"/>
  </c:chart>
  <c:spPr>
    <a:solidFill>
      <a:schemeClr val="bg1"/>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97930026787889"/>
          <c:y val="7.8291814946619215E-2"/>
          <c:w val="0.82965987498985305"/>
          <c:h val="0.63067503572729566"/>
        </c:manualLayout>
      </c:layout>
      <c:lineChart>
        <c:grouping val="standard"/>
        <c:varyColors val="0"/>
        <c:ser>
          <c:idx val="0"/>
          <c:order val="0"/>
          <c:tx>
            <c:strRef>
              <c:f>'Kondisi Perekonomian'!$N$7</c:f>
              <c:strCache>
                <c:ptCount val="1"/>
                <c:pt idx="0">
                  <c:v>Sector-1</c:v>
                </c:pt>
              </c:strCache>
            </c:strRef>
          </c:tx>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Perekonomian'!$O$7:$X$7</c:f>
              <c:numCache>
                <c:formatCode>General</c:formatCode>
                <c:ptCount val="10"/>
                <c:pt idx="0">
                  <c:v>242391</c:v>
                </c:pt>
                <c:pt idx="1">
                  <c:v>235647</c:v>
                </c:pt>
                <c:pt idx="2">
                  <c:v>228830</c:v>
                </c:pt>
                <c:pt idx="3">
                  <c:v>230454</c:v>
                </c:pt>
                <c:pt idx="4">
                  <c:v>212255</c:v>
                </c:pt>
                <c:pt idx="5">
                  <c:v>170199</c:v>
                </c:pt>
                <c:pt idx="6">
                  <c:v>172199</c:v>
                </c:pt>
                <c:pt idx="7">
                  <c:v>159885</c:v>
                </c:pt>
                <c:pt idx="8">
                  <c:v>148102</c:v>
                </c:pt>
                <c:pt idx="9">
                  <c:v>146569</c:v>
                </c:pt>
              </c:numCache>
            </c:numRef>
          </c:val>
          <c:smooth val="0"/>
          <c:extLst>
            <c:ext xmlns:c16="http://schemas.microsoft.com/office/drawing/2014/chart" uri="{C3380CC4-5D6E-409C-BE32-E72D297353CC}">
              <c16:uniqueId val="{00000000-FE87-46B0-B443-7C9DFE16F903}"/>
            </c:ext>
          </c:extLst>
        </c:ser>
        <c:ser>
          <c:idx val="1"/>
          <c:order val="1"/>
          <c:tx>
            <c:strRef>
              <c:f>'Kondisi Perekonomian'!$N$8</c:f>
              <c:strCache>
                <c:ptCount val="1"/>
                <c:pt idx="0">
                  <c:v>Sector-2</c:v>
                </c:pt>
              </c:strCache>
            </c:strRef>
          </c:tx>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Perekonomian'!$O$8:$X$8</c:f>
              <c:numCache>
                <c:formatCode>General</c:formatCode>
                <c:ptCount val="10"/>
                <c:pt idx="0">
                  <c:v>42413</c:v>
                </c:pt>
                <c:pt idx="1">
                  <c:v>36099</c:v>
                </c:pt>
                <c:pt idx="2">
                  <c:v>6634</c:v>
                </c:pt>
                <c:pt idx="3">
                  <c:v>13612</c:v>
                </c:pt>
                <c:pt idx="4">
                  <c:v>54571</c:v>
                </c:pt>
                <c:pt idx="5">
                  <c:v>126050</c:v>
                </c:pt>
                <c:pt idx="6">
                  <c:v>190353</c:v>
                </c:pt>
                <c:pt idx="7">
                  <c:v>255972</c:v>
                </c:pt>
                <c:pt idx="8">
                  <c:v>328677</c:v>
                </c:pt>
                <c:pt idx="9">
                  <c:v>382433</c:v>
                </c:pt>
              </c:numCache>
            </c:numRef>
          </c:val>
          <c:smooth val="0"/>
          <c:extLst>
            <c:ext xmlns:c16="http://schemas.microsoft.com/office/drawing/2014/chart" uri="{C3380CC4-5D6E-409C-BE32-E72D297353CC}">
              <c16:uniqueId val="{00000001-FE87-46B0-B443-7C9DFE16F903}"/>
            </c:ext>
          </c:extLst>
        </c:ser>
        <c:ser>
          <c:idx val="2"/>
          <c:order val="2"/>
          <c:tx>
            <c:strRef>
              <c:f>'Kondisi Perekonomian'!$N$9</c:f>
              <c:strCache>
                <c:ptCount val="1"/>
                <c:pt idx="0">
                  <c:v>Sector-3</c:v>
                </c:pt>
              </c:strCache>
            </c:strRef>
          </c:tx>
          <c:spPr>
            <a:ln>
              <a:solidFill>
                <a:srgbClr val="00B050"/>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Perekonomian'!$O$9:$X$9</c:f>
              <c:numCache>
                <c:formatCode>General</c:formatCode>
                <c:ptCount val="10"/>
                <c:pt idx="0">
                  <c:v>281</c:v>
                </c:pt>
                <c:pt idx="1">
                  <c:v>344</c:v>
                </c:pt>
                <c:pt idx="2">
                  <c:v>446</c:v>
                </c:pt>
                <c:pt idx="3">
                  <c:v>490</c:v>
                </c:pt>
                <c:pt idx="4">
                  <c:v>541</c:v>
                </c:pt>
                <c:pt idx="5">
                  <c:v>584</c:v>
                </c:pt>
                <c:pt idx="6">
                  <c:v>628</c:v>
                </c:pt>
                <c:pt idx="7">
                  <c:v>703</c:v>
                </c:pt>
                <c:pt idx="8">
                  <c:v>747</c:v>
                </c:pt>
                <c:pt idx="9">
                  <c:v>746</c:v>
                </c:pt>
              </c:numCache>
            </c:numRef>
          </c:val>
          <c:smooth val="0"/>
          <c:extLst>
            <c:ext xmlns:c16="http://schemas.microsoft.com/office/drawing/2014/chart" uri="{C3380CC4-5D6E-409C-BE32-E72D297353CC}">
              <c16:uniqueId val="{00000002-FE87-46B0-B443-7C9DFE16F903}"/>
            </c:ext>
          </c:extLst>
        </c:ser>
        <c:ser>
          <c:idx val="3"/>
          <c:order val="3"/>
          <c:tx>
            <c:strRef>
              <c:f>'Kondisi Perekonomian'!$N$10</c:f>
              <c:strCache>
                <c:ptCount val="1"/>
                <c:pt idx="0">
                  <c:v>Sector-4</c:v>
                </c:pt>
              </c:strCache>
            </c:strRef>
          </c:tx>
          <c:spPr>
            <a:ln>
              <a:solidFill>
                <a:schemeClr val="tx1"/>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Perekonomian'!$O$10:$X$10</c:f>
              <c:numCache>
                <c:formatCode>General</c:formatCode>
                <c:ptCount val="10"/>
                <c:pt idx="0">
                  <c:v>1213</c:v>
                </c:pt>
                <c:pt idx="1">
                  <c:v>1432</c:v>
                </c:pt>
                <c:pt idx="2">
                  <c:v>1716</c:v>
                </c:pt>
                <c:pt idx="3">
                  <c:v>2004</c:v>
                </c:pt>
                <c:pt idx="4">
                  <c:v>2224</c:v>
                </c:pt>
                <c:pt idx="5">
                  <c:v>2454</c:v>
                </c:pt>
                <c:pt idx="6">
                  <c:v>2762</c:v>
                </c:pt>
                <c:pt idx="7">
                  <c:v>3710</c:v>
                </c:pt>
                <c:pt idx="8">
                  <c:v>4547</c:v>
                </c:pt>
                <c:pt idx="9">
                  <c:v>5467</c:v>
                </c:pt>
              </c:numCache>
            </c:numRef>
          </c:val>
          <c:smooth val="0"/>
          <c:extLst>
            <c:ext xmlns:c16="http://schemas.microsoft.com/office/drawing/2014/chart" uri="{C3380CC4-5D6E-409C-BE32-E72D297353CC}">
              <c16:uniqueId val="{00000003-FE87-46B0-B443-7C9DFE16F903}"/>
            </c:ext>
          </c:extLst>
        </c:ser>
        <c:ser>
          <c:idx val="4"/>
          <c:order val="4"/>
          <c:tx>
            <c:strRef>
              <c:f>'Kondisi Perekonomian'!$N$11</c:f>
              <c:strCache>
                <c:ptCount val="1"/>
                <c:pt idx="0">
                  <c:v>Sector-5</c:v>
                </c:pt>
              </c:strCache>
            </c:strRef>
          </c:tx>
          <c:spPr>
            <a:ln>
              <a:solidFill>
                <a:schemeClr val="tx1">
                  <a:lumMod val="75000"/>
                  <a:lumOff val="25000"/>
                </a:schemeClr>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Perekonomian'!$O$11:$X$11</c:f>
              <c:numCache>
                <c:formatCode>General</c:formatCode>
                <c:ptCount val="10"/>
                <c:pt idx="0">
                  <c:v>55851</c:v>
                </c:pt>
                <c:pt idx="1">
                  <c:v>75896</c:v>
                </c:pt>
                <c:pt idx="2">
                  <c:v>106780</c:v>
                </c:pt>
                <c:pt idx="3">
                  <c:v>119271</c:v>
                </c:pt>
                <c:pt idx="4">
                  <c:v>131941</c:v>
                </c:pt>
                <c:pt idx="5">
                  <c:v>145475</c:v>
                </c:pt>
                <c:pt idx="6">
                  <c:v>155362</c:v>
                </c:pt>
                <c:pt idx="7">
                  <c:v>168914</c:v>
                </c:pt>
                <c:pt idx="8">
                  <c:v>184104</c:v>
                </c:pt>
                <c:pt idx="9">
                  <c:v>200493</c:v>
                </c:pt>
              </c:numCache>
            </c:numRef>
          </c:val>
          <c:smooth val="0"/>
          <c:extLst>
            <c:ext xmlns:c16="http://schemas.microsoft.com/office/drawing/2014/chart" uri="{C3380CC4-5D6E-409C-BE32-E72D297353CC}">
              <c16:uniqueId val="{00000004-FE87-46B0-B443-7C9DFE16F903}"/>
            </c:ext>
          </c:extLst>
        </c:ser>
        <c:ser>
          <c:idx val="5"/>
          <c:order val="5"/>
          <c:tx>
            <c:strRef>
              <c:f>'Kondisi Perekonomian'!$N$12</c:f>
              <c:strCache>
                <c:ptCount val="1"/>
                <c:pt idx="0">
                  <c:v>Sector-6</c:v>
                </c:pt>
              </c:strCache>
            </c:strRef>
          </c:tx>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Perekonomian'!$O$12:$X$12</c:f>
              <c:numCache>
                <c:formatCode>General</c:formatCode>
                <c:ptCount val="10"/>
                <c:pt idx="0">
                  <c:v>83189</c:v>
                </c:pt>
                <c:pt idx="1">
                  <c:v>89063</c:v>
                </c:pt>
                <c:pt idx="2">
                  <c:v>102786</c:v>
                </c:pt>
                <c:pt idx="3">
                  <c:v>108205</c:v>
                </c:pt>
                <c:pt idx="4">
                  <c:v>109915</c:v>
                </c:pt>
                <c:pt idx="5">
                  <c:v>112358</c:v>
                </c:pt>
                <c:pt idx="6">
                  <c:v>119150</c:v>
                </c:pt>
                <c:pt idx="7">
                  <c:v>126657</c:v>
                </c:pt>
                <c:pt idx="8">
                  <c:v>132455</c:v>
                </c:pt>
                <c:pt idx="9">
                  <c:v>137963</c:v>
                </c:pt>
              </c:numCache>
            </c:numRef>
          </c:val>
          <c:smooth val="0"/>
          <c:extLst>
            <c:ext xmlns:c16="http://schemas.microsoft.com/office/drawing/2014/chart" uri="{C3380CC4-5D6E-409C-BE32-E72D297353CC}">
              <c16:uniqueId val="{00000005-FE87-46B0-B443-7C9DFE16F903}"/>
            </c:ext>
          </c:extLst>
        </c:ser>
        <c:ser>
          <c:idx val="6"/>
          <c:order val="6"/>
          <c:tx>
            <c:strRef>
              <c:f>'Kondisi Perekonomian'!$N$13</c:f>
              <c:strCache>
                <c:ptCount val="1"/>
                <c:pt idx="0">
                  <c:v>Sector-7</c:v>
                </c:pt>
              </c:strCache>
            </c:strRef>
          </c:tx>
          <c:spPr>
            <a:ln>
              <a:solidFill>
                <a:srgbClr val="99CC00"/>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Perekonomian'!$O$13:$X$13</c:f>
              <c:numCache>
                <c:formatCode>General</c:formatCode>
                <c:ptCount val="10"/>
                <c:pt idx="0">
                  <c:v>10334</c:v>
                </c:pt>
                <c:pt idx="1">
                  <c:v>11423</c:v>
                </c:pt>
                <c:pt idx="2">
                  <c:v>12909</c:v>
                </c:pt>
                <c:pt idx="3">
                  <c:v>14416</c:v>
                </c:pt>
                <c:pt idx="4">
                  <c:v>15874</c:v>
                </c:pt>
                <c:pt idx="5">
                  <c:v>17776</c:v>
                </c:pt>
                <c:pt idx="6">
                  <c:v>19514</c:v>
                </c:pt>
                <c:pt idx="7">
                  <c:v>21057</c:v>
                </c:pt>
                <c:pt idx="8">
                  <c:v>22604</c:v>
                </c:pt>
                <c:pt idx="9">
                  <c:v>24661</c:v>
                </c:pt>
              </c:numCache>
            </c:numRef>
          </c:val>
          <c:smooth val="0"/>
          <c:extLst>
            <c:ext xmlns:c16="http://schemas.microsoft.com/office/drawing/2014/chart" uri="{C3380CC4-5D6E-409C-BE32-E72D297353CC}">
              <c16:uniqueId val="{00000006-FE87-46B0-B443-7C9DFE16F903}"/>
            </c:ext>
          </c:extLst>
        </c:ser>
        <c:ser>
          <c:idx val="7"/>
          <c:order val="7"/>
          <c:tx>
            <c:strRef>
              <c:f>'Kondisi Perekonomian'!$N$14</c:f>
              <c:strCache>
                <c:ptCount val="1"/>
                <c:pt idx="0">
                  <c:v>Sector-8</c:v>
                </c:pt>
              </c:strCache>
            </c:strRef>
          </c:tx>
          <c:spPr>
            <a:ln>
              <a:solidFill>
                <a:srgbClr val="FF5050"/>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Perekonomian'!$O$14:$X$14</c:f>
              <c:numCache>
                <c:formatCode>General</c:formatCode>
                <c:ptCount val="10"/>
                <c:pt idx="0">
                  <c:v>520</c:v>
                </c:pt>
                <c:pt idx="1">
                  <c:v>1432</c:v>
                </c:pt>
                <c:pt idx="2">
                  <c:v>2214</c:v>
                </c:pt>
                <c:pt idx="3">
                  <c:v>2336</c:v>
                </c:pt>
                <c:pt idx="4">
                  <c:v>2511</c:v>
                </c:pt>
                <c:pt idx="5">
                  <c:v>2712</c:v>
                </c:pt>
                <c:pt idx="6">
                  <c:v>2996</c:v>
                </c:pt>
                <c:pt idx="7">
                  <c:v>3318</c:v>
                </c:pt>
                <c:pt idx="8">
                  <c:v>3662</c:v>
                </c:pt>
                <c:pt idx="9">
                  <c:v>4033</c:v>
                </c:pt>
              </c:numCache>
            </c:numRef>
          </c:val>
          <c:smooth val="0"/>
          <c:extLst>
            <c:ext xmlns:c16="http://schemas.microsoft.com/office/drawing/2014/chart" uri="{C3380CC4-5D6E-409C-BE32-E72D297353CC}">
              <c16:uniqueId val="{00000007-FE87-46B0-B443-7C9DFE16F903}"/>
            </c:ext>
          </c:extLst>
        </c:ser>
        <c:ser>
          <c:idx val="8"/>
          <c:order val="8"/>
          <c:tx>
            <c:strRef>
              <c:f>'Kondisi Perekonomian'!$N$15</c:f>
              <c:strCache>
                <c:ptCount val="1"/>
                <c:pt idx="0">
                  <c:v>Sector-9</c:v>
                </c:pt>
              </c:strCache>
            </c:strRef>
          </c:tx>
          <c:spPr>
            <a:ln>
              <a:solidFill>
                <a:srgbClr val="663300"/>
              </a:solidFill>
            </a:ln>
          </c:spPr>
          <c:marker>
            <c:symbol val="none"/>
          </c:marker>
          <c:cat>
            <c:numRef>
              <c:f>'Kondisi Perekonomian'!$O$6:$X$6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'Kondisi Perekonomian'!$O$15:$X$15</c:f>
              <c:numCache>
                <c:formatCode>General</c:formatCode>
                <c:ptCount val="10"/>
                <c:pt idx="0">
                  <c:v>17992</c:v>
                </c:pt>
                <c:pt idx="1">
                  <c:v>19362</c:v>
                </c:pt>
                <c:pt idx="2">
                  <c:v>22818</c:v>
                </c:pt>
                <c:pt idx="3">
                  <c:v>24977</c:v>
                </c:pt>
                <c:pt idx="4">
                  <c:v>27364</c:v>
                </c:pt>
                <c:pt idx="5">
                  <c:v>29473</c:v>
                </c:pt>
                <c:pt idx="6">
                  <c:v>30878</c:v>
                </c:pt>
                <c:pt idx="7">
                  <c:v>32246</c:v>
                </c:pt>
                <c:pt idx="8">
                  <c:v>33904</c:v>
                </c:pt>
                <c:pt idx="9">
                  <c:v>33945</c:v>
                </c:pt>
              </c:numCache>
            </c:numRef>
          </c:val>
          <c:smooth val="0"/>
          <c:extLst>
            <c:ext xmlns:c16="http://schemas.microsoft.com/office/drawing/2014/chart" uri="{C3380CC4-5D6E-409C-BE32-E72D297353CC}">
              <c16:uniqueId val="{00000008-FE87-46B0-B443-7C9DFE16F903}"/>
            </c:ext>
          </c:extLst>
        </c:ser>
        <c:dLbls>
          <c:showLegendKey val="0"/>
          <c:showVal val="0"/>
          <c:showCatName val="0"/>
          <c:showSerName val="0"/>
          <c:showPercent val="0"/>
          <c:showBubbleSize val="0"/>
        </c:dLbls>
        <c:smooth val="0"/>
        <c:axId val="129927040"/>
        <c:axId val="129928576"/>
      </c:lineChart>
      <c:catAx>
        <c:axId val="129927040"/>
        <c:scaling>
          <c:orientation val="minMax"/>
        </c:scaling>
        <c:delete val="0"/>
        <c:axPos val="b"/>
        <c:numFmt formatCode="General" sourceLinked="1"/>
        <c:majorTickMark val="out"/>
        <c:minorTickMark val="none"/>
        <c:tickLblPos val="nextTo"/>
        <c:txPr>
          <a:bodyPr/>
          <a:lstStyle/>
          <a:p>
            <a:pPr>
              <a:defRPr sz="600" i="1"/>
            </a:pPr>
            <a:endParaRPr lang="en-US"/>
          </a:p>
        </c:txPr>
        <c:crossAx val="129928576"/>
        <c:crosses val="autoZero"/>
        <c:auto val="1"/>
        <c:lblAlgn val="ctr"/>
        <c:lblOffset val="100"/>
        <c:noMultiLvlLbl val="0"/>
      </c:catAx>
      <c:valAx>
        <c:axId val="129928576"/>
        <c:scaling>
          <c:orientation val="minMax"/>
        </c:scaling>
        <c:delete val="0"/>
        <c:axPos val="l"/>
        <c:majorGridlines/>
        <c:numFmt formatCode="General" sourceLinked="1"/>
        <c:majorTickMark val="out"/>
        <c:minorTickMark val="none"/>
        <c:tickLblPos val="nextTo"/>
        <c:txPr>
          <a:bodyPr/>
          <a:lstStyle/>
          <a:p>
            <a:pPr>
              <a:defRPr sz="600"/>
            </a:pPr>
            <a:endParaRPr lang="en-US"/>
          </a:p>
        </c:txPr>
        <c:crossAx val="129927040"/>
        <c:crosses val="autoZero"/>
        <c:crossBetween val="between"/>
      </c:valAx>
    </c:plotArea>
    <c:legend>
      <c:legendPos val="b"/>
      <c:layout>
        <c:manualLayout>
          <c:xMode val="edge"/>
          <c:yMode val="edge"/>
          <c:x val="0.15516356847146684"/>
          <c:y val="0.8202477092498669"/>
          <c:w val="0.80513645588115923"/>
          <c:h val="0.13704766441561353"/>
        </c:manualLayout>
      </c:layout>
      <c:overlay val="0"/>
      <c:txPr>
        <a:bodyPr/>
        <a:lstStyle/>
        <a:p>
          <a:pPr>
            <a:defRPr sz="600" b="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'DEKSRIPSI VARIABEL'!$J$126</c:f>
              <c:strCache>
                <c:ptCount val="1"/>
                <c:pt idx="0">
                  <c:v>Palm oil</c:v>
                </c:pt>
              </c:strCache>
            </c:strRef>
          </c:tx>
          <c:cat>
            <c:numRef>
              <c:f>'DEKSRIPSI VARIABEL'!$I$127:$I$135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VARIABEL'!$J$127:$J$135</c:f>
              <c:numCache>
                <c:formatCode>0</c:formatCode>
                <c:ptCount val="9"/>
                <c:pt idx="0">
                  <c:v>12006</c:v>
                </c:pt>
                <c:pt idx="1">
                  <c:v>13753</c:v>
                </c:pt>
                <c:pt idx="2">
                  <c:v>13989</c:v>
                </c:pt>
                <c:pt idx="3">
                  <c:v>15368</c:v>
                </c:pt>
                <c:pt idx="4">
                  <c:v>18574</c:v>
                </c:pt>
                <c:pt idx="5">
                  <c:v>18489</c:v>
                </c:pt>
                <c:pt idx="6">
                  <c:v>18999</c:v>
                </c:pt>
                <c:pt idx="7">
                  <c:v>19685</c:v>
                </c:pt>
                <c:pt idx="8">
                  <c:v>20173</c:v>
                </c:pt>
              </c:numCache>
            </c:numRef>
          </c:val>
          <c:smooth val="0"/>
          <c:extLst>
            <c:ext xmlns:c16="http://schemas.microsoft.com/office/drawing/2014/chart" uri="{C3380CC4-5D6E-409C-BE32-E72D297353CC}">
              <c16:uniqueId val="{00000000-713D-4ABE-B546-3F587FE5C19A}"/>
            </c:ext>
          </c:extLst>
        </c:ser>
        <c:ser>
          <c:idx val="1"/>
          <c:order val="1"/>
          <c:tx>
            <c:strRef>
              <c:f>'DEKSRIPSI VARIABEL'!$K$126</c:f>
              <c:strCache>
                <c:ptCount val="1"/>
                <c:pt idx="0">
                  <c:v>Rubber</c:v>
                </c:pt>
              </c:strCache>
            </c:strRef>
          </c:tx>
          <c:cat>
            <c:numRef>
              <c:f>'DEKSRIPSI VARIABEL'!$I$127:$I$135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VARIABEL'!$K$127:$K$135</c:f>
              <c:numCache>
                <c:formatCode>0</c:formatCode>
                <c:ptCount val="9"/>
                <c:pt idx="0">
                  <c:v>7536</c:v>
                </c:pt>
                <c:pt idx="1">
                  <c:v>7208</c:v>
                </c:pt>
                <c:pt idx="2">
                  <c:v>7942</c:v>
                </c:pt>
                <c:pt idx="3">
                  <c:v>8016</c:v>
                </c:pt>
                <c:pt idx="4">
                  <c:v>8289</c:v>
                </c:pt>
                <c:pt idx="5">
                  <c:v>8599</c:v>
                </c:pt>
                <c:pt idx="6">
                  <c:v>9164</c:v>
                </c:pt>
                <c:pt idx="7">
                  <c:v>11003</c:v>
                </c:pt>
                <c:pt idx="8">
                  <c:v>11721</c:v>
                </c:pt>
              </c:numCache>
            </c:numRef>
          </c:val>
          <c:smooth val="0"/>
          <c:extLst>
            <c:ext xmlns:c16="http://schemas.microsoft.com/office/drawing/2014/chart" uri="{C3380CC4-5D6E-409C-BE32-E72D297353CC}">
              <c16:uniqueId val="{00000001-713D-4ABE-B546-3F587FE5C19A}"/>
            </c:ext>
          </c:extLst>
        </c:ser>
        <c:ser>
          <c:idx val="2"/>
          <c:order val="2"/>
          <c:tx>
            <c:strRef>
              <c:f>'DEKSRIPSI VARIABEL'!$L$126</c:f>
              <c:strCache>
                <c:ptCount val="1"/>
                <c:pt idx="0">
                  <c:v>Wooden logs</c:v>
                </c:pt>
              </c:strCache>
            </c:strRef>
          </c:tx>
          <c:cat>
            <c:numRef>
              <c:f>'DEKSRIPSI VARIABEL'!$I$127:$I$135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VARIABEL'!$L$127:$L$135</c:f>
              <c:numCache>
                <c:formatCode>0</c:formatCode>
                <c:ptCount val="9"/>
                <c:pt idx="0">
                  <c:v>13575</c:v>
                </c:pt>
                <c:pt idx="1">
                  <c:v>15300</c:v>
                </c:pt>
                <c:pt idx="2">
                  <c:v>15899</c:v>
                </c:pt>
                <c:pt idx="3">
                  <c:v>15394</c:v>
                </c:pt>
                <c:pt idx="4">
                  <c:v>16037</c:v>
                </c:pt>
                <c:pt idx="5">
                  <c:v>16344</c:v>
                </c:pt>
                <c:pt idx="6">
                  <c:v>16826</c:v>
                </c:pt>
                <c:pt idx="7">
                  <c:v>18423</c:v>
                </c:pt>
                <c:pt idx="8">
                  <c:v>18639</c:v>
                </c:pt>
              </c:numCache>
            </c:numRef>
          </c:val>
          <c:smooth val="0"/>
          <c:extLst>
            <c:ext xmlns:c16="http://schemas.microsoft.com/office/drawing/2014/chart" uri="{C3380CC4-5D6E-409C-BE32-E72D297353CC}">
              <c16:uniqueId val="{00000002-713D-4ABE-B546-3F587FE5C19A}"/>
            </c:ext>
          </c:extLst>
        </c:ser>
        <c:dLbls>
          <c:showLegendKey val="0"/>
          <c:showVal val="0"/>
          <c:showCatName val="0"/>
          <c:showSerName val="0"/>
          <c:showPercent val="0"/>
          <c:showBubbleSize val="0"/>
        </c:dLbls>
        <c:marker val="1"/>
        <c:smooth val="0"/>
        <c:axId val="135439104"/>
        <c:axId val="135440640"/>
      </c:lineChart>
      <c:catAx>
        <c:axId val="135439104"/>
        <c:scaling>
          <c:orientation val="minMax"/>
        </c:scaling>
        <c:delete val="0"/>
        <c:axPos val="b"/>
        <c:numFmt formatCode="General" sourceLinked="1"/>
        <c:majorTickMark val="out"/>
        <c:minorTickMark val="none"/>
        <c:tickLblPos val="nextTo"/>
        <c:txPr>
          <a:bodyPr/>
          <a:lstStyle/>
          <a:p>
            <a:pPr>
              <a:defRPr sz="700"/>
            </a:pPr>
            <a:endParaRPr lang="en-US"/>
          </a:p>
        </c:txPr>
        <c:crossAx val="135440640"/>
        <c:crosses val="autoZero"/>
        <c:auto val="1"/>
        <c:lblAlgn val="ctr"/>
        <c:lblOffset val="100"/>
        <c:noMultiLvlLbl val="0"/>
      </c:catAx>
      <c:valAx>
        <c:axId val="135440640"/>
        <c:scaling>
          <c:orientation val="minMax"/>
        </c:scaling>
        <c:delete val="0"/>
        <c:axPos val="l"/>
        <c:majorGridlines/>
        <c:numFmt formatCode="0" sourceLinked="1"/>
        <c:majorTickMark val="out"/>
        <c:minorTickMark val="none"/>
        <c:tickLblPos val="nextTo"/>
        <c:txPr>
          <a:bodyPr/>
          <a:lstStyle/>
          <a:p>
            <a:pPr>
              <a:defRPr sz="700"/>
            </a:pPr>
            <a:endParaRPr lang="en-US"/>
          </a:p>
        </c:txPr>
        <c:crossAx val="135439104"/>
        <c:crosses val="autoZero"/>
        <c:crossBetween val="between"/>
      </c:valAx>
    </c:plotArea>
    <c:legend>
      <c:legendPos val="r"/>
      <c:overlay val="0"/>
      <c:txPr>
        <a:bodyPr/>
        <a:lstStyle/>
        <a:p>
          <a:pPr>
            <a:defRPr sz="700" b="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'DEKSRIPSI VARIABEL'!$J$168</c:f>
              <c:strCache>
                <c:ptCount val="1"/>
                <c:pt idx="0">
                  <c:v>Natural gas</c:v>
                </c:pt>
              </c:strCache>
            </c:strRef>
          </c:tx>
          <c:cat>
            <c:numRef>
              <c:f>'DEKSRIPSI VARIABEL'!$I$169:$I$177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VARIABEL'!$J$169:$J$177</c:f>
              <c:numCache>
                <c:formatCode>0</c:formatCode>
                <c:ptCount val="9"/>
                <c:pt idx="0">
                  <c:v>39152</c:v>
                </c:pt>
                <c:pt idx="1">
                  <c:v>37018</c:v>
                </c:pt>
                <c:pt idx="2">
                  <c:v>55644</c:v>
                </c:pt>
                <c:pt idx="3">
                  <c:v>103623</c:v>
                </c:pt>
                <c:pt idx="4">
                  <c:v>124308</c:v>
                </c:pt>
                <c:pt idx="5">
                  <c:v>176090</c:v>
                </c:pt>
                <c:pt idx="6">
                  <c:v>167785</c:v>
                </c:pt>
                <c:pt idx="7">
                  <c:v>127967</c:v>
                </c:pt>
                <c:pt idx="8">
                  <c:v>167893</c:v>
                </c:pt>
              </c:numCache>
            </c:numRef>
          </c:val>
          <c:smooth val="0"/>
          <c:extLst>
            <c:ext xmlns:c16="http://schemas.microsoft.com/office/drawing/2014/chart" uri="{C3380CC4-5D6E-409C-BE32-E72D297353CC}">
              <c16:uniqueId val="{00000000-3BB2-4F53-A18B-0B7E98F5DCDD}"/>
            </c:ext>
          </c:extLst>
        </c:ser>
        <c:ser>
          <c:idx val="1"/>
          <c:order val="1"/>
          <c:tx>
            <c:strRef>
              <c:f>'DEKSRIPSI VARIABEL'!$K$168</c:f>
              <c:strCache>
                <c:ptCount val="1"/>
                <c:pt idx="0">
                  <c:v>Coal</c:v>
                </c:pt>
              </c:strCache>
            </c:strRef>
          </c:tx>
          <c:cat>
            <c:numRef>
              <c:f>'DEKSRIPSI VARIABEL'!$I$169:$I$177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VARIABEL'!$K$169:$K$177</c:f>
              <c:numCache>
                <c:formatCode>0</c:formatCode>
                <c:ptCount val="9"/>
                <c:pt idx="0">
                  <c:v>903384</c:v>
                </c:pt>
                <c:pt idx="1">
                  <c:v>912735</c:v>
                </c:pt>
                <c:pt idx="2">
                  <c:v>915285</c:v>
                </c:pt>
                <c:pt idx="3">
                  <c:v>924738</c:v>
                </c:pt>
                <c:pt idx="4">
                  <c:v>929864</c:v>
                </c:pt>
                <c:pt idx="5">
                  <c:v>920007</c:v>
                </c:pt>
                <c:pt idx="6">
                  <c:v>946281</c:v>
                </c:pt>
                <c:pt idx="7">
                  <c:v>853228</c:v>
                </c:pt>
                <c:pt idx="8">
                  <c:v>788397</c:v>
                </c:pt>
              </c:numCache>
            </c:numRef>
          </c:val>
          <c:smooth val="0"/>
          <c:extLst>
            <c:ext xmlns:c16="http://schemas.microsoft.com/office/drawing/2014/chart" uri="{C3380CC4-5D6E-409C-BE32-E72D297353CC}">
              <c16:uniqueId val="{00000001-3BB2-4F53-A18B-0B7E98F5DCDD}"/>
            </c:ext>
          </c:extLst>
        </c:ser>
        <c:ser>
          <c:idx val="2"/>
          <c:order val="2"/>
          <c:tx>
            <c:strRef>
              <c:f>'DEKSRIPSI VARIABEL'!$L$168</c:f>
              <c:strCache>
                <c:ptCount val="1"/>
                <c:pt idx="0">
                  <c:v>Excavation (A, B, C)</c:v>
                </c:pt>
              </c:strCache>
            </c:strRef>
          </c:tx>
          <c:cat>
            <c:numRef>
              <c:f>'DEKSRIPSI VARIABEL'!$I$169:$I$177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VARIABEL'!$L$169:$L$177</c:f>
              <c:numCache>
                <c:formatCode>0</c:formatCode>
                <c:ptCount val="9"/>
                <c:pt idx="0">
                  <c:v>105322</c:v>
                </c:pt>
                <c:pt idx="1">
                  <c:v>95384</c:v>
                </c:pt>
                <c:pt idx="2">
                  <c:v>94493</c:v>
                </c:pt>
                <c:pt idx="3">
                  <c:v>96020</c:v>
                </c:pt>
                <c:pt idx="4">
                  <c:v>110386</c:v>
                </c:pt>
                <c:pt idx="5">
                  <c:v>99845</c:v>
                </c:pt>
                <c:pt idx="6">
                  <c:v>98365</c:v>
                </c:pt>
                <c:pt idx="7">
                  <c:v>36374</c:v>
                </c:pt>
                <c:pt idx="8">
                  <c:v>51297</c:v>
                </c:pt>
              </c:numCache>
            </c:numRef>
          </c:val>
          <c:smooth val="0"/>
          <c:extLst>
            <c:ext xmlns:c16="http://schemas.microsoft.com/office/drawing/2014/chart" uri="{C3380CC4-5D6E-409C-BE32-E72D297353CC}">
              <c16:uniqueId val="{00000002-3BB2-4F53-A18B-0B7E98F5DCDD}"/>
            </c:ext>
          </c:extLst>
        </c:ser>
        <c:dLbls>
          <c:showLegendKey val="0"/>
          <c:showVal val="0"/>
          <c:showCatName val="0"/>
          <c:showSerName val="0"/>
          <c:showPercent val="0"/>
          <c:showBubbleSize val="0"/>
        </c:dLbls>
        <c:marker val="1"/>
        <c:smooth val="0"/>
        <c:axId val="135437696"/>
        <c:axId val="178955392"/>
      </c:lineChart>
      <c:catAx>
        <c:axId val="135437696"/>
        <c:scaling>
          <c:orientation val="minMax"/>
        </c:scaling>
        <c:delete val="0"/>
        <c:axPos val="b"/>
        <c:numFmt formatCode="General" sourceLinked="1"/>
        <c:majorTickMark val="out"/>
        <c:minorTickMark val="none"/>
        <c:tickLblPos val="nextTo"/>
        <c:txPr>
          <a:bodyPr/>
          <a:lstStyle/>
          <a:p>
            <a:pPr>
              <a:defRPr sz="600"/>
            </a:pPr>
            <a:endParaRPr lang="en-US"/>
          </a:p>
        </c:txPr>
        <c:crossAx val="178955392"/>
        <c:crosses val="autoZero"/>
        <c:auto val="1"/>
        <c:lblAlgn val="ctr"/>
        <c:lblOffset val="100"/>
        <c:noMultiLvlLbl val="0"/>
      </c:catAx>
      <c:valAx>
        <c:axId val="178955392"/>
        <c:scaling>
          <c:orientation val="minMax"/>
        </c:scaling>
        <c:delete val="0"/>
        <c:axPos val="l"/>
        <c:majorGridlines/>
        <c:numFmt formatCode="0" sourceLinked="1"/>
        <c:majorTickMark val="out"/>
        <c:minorTickMark val="none"/>
        <c:tickLblPos val="nextTo"/>
        <c:crossAx val="135437696"/>
        <c:crosses val="autoZero"/>
        <c:crossBetween val="between"/>
      </c:valAx>
    </c:plotArea>
    <c:legend>
      <c:legendPos val="r"/>
      <c:overlay val="0"/>
      <c:txPr>
        <a:bodyPr/>
        <a:lstStyle/>
        <a:p>
          <a:pPr>
            <a:defRPr sz="600"/>
          </a:pPr>
          <a:endParaRPr lang="en-US"/>
        </a:p>
      </c:txPr>
    </c:legend>
    <c:plotVisOnly val="1"/>
    <c:dispBlanksAs val="gap"/>
    <c:showDLblsOverMax val="0"/>
  </c:chart>
  <c:txPr>
    <a:bodyPr/>
    <a:lstStyle/>
    <a:p>
      <a:pPr>
        <a:defRPr sz="7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'DEKSRIPSI VARIABEL'!$J$140</c:f>
              <c:strCache>
                <c:ptCount val="1"/>
                <c:pt idx="0">
                  <c:v>Palm oil</c:v>
                </c:pt>
              </c:strCache>
            </c:strRef>
          </c:tx>
          <c:cat>
            <c:numRef>
              <c:f>'DEKSRIPSI VARIABEL'!$I$141:$I$149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VARIABEL'!$J$141:$J$149</c:f>
              <c:numCache>
                <c:formatCode>0</c:formatCode>
                <c:ptCount val="9"/>
                <c:pt idx="0">
                  <c:v>74497</c:v>
                </c:pt>
                <c:pt idx="1">
                  <c:v>75100</c:v>
                </c:pt>
                <c:pt idx="2">
                  <c:v>75472</c:v>
                </c:pt>
                <c:pt idx="3">
                  <c:v>76951</c:v>
                </c:pt>
                <c:pt idx="4">
                  <c:v>80037</c:v>
                </c:pt>
                <c:pt idx="5">
                  <c:v>81573</c:v>
                </c:pt>
                <c:pt idx="6">
                  <c:v>81963</c:v>
                </c:pt>
                <c:pt idx="7">
                  <c:v>82853</c:v>
                </c:pt>
                <c:pt idx="8">
                  <c:v>83642</c:v>
                </c:pt>
              </c:numCache>
            </c:numRef>
          </c:val>
          <c:smooth val="0"/>
          <c:extLst>
            <c:ext xmlns:c16="http://schemas.microsoft.com/office/drawing/2014/chart" uri="{C3380CC4-5D6E-409C-BE32-E72D297353CC}">
              <c16:uniqueId val="{00000000-9C1B-4720-8609-5F339860BEAD}"/>
            </c:ext>
          </c:extLst>
        </c:ser>
        <c:ser>
          <c:idx val="1"/>
          <c:order val="1"/>
          <c:tx>
            <c:strRef>
              <c:f>'DEKSRIPSI VARIABEL'!$K$140</c:f>
              <c:strCache>
                <c:ptCount val="1"/>
                <c:pt idx="0">
                  <c:v>Rubber</c:v>
                </c:pt>
              </c:strCache>
            </c:strRef>
          </c:tx>
          <c:cat>
            <c:numRef>
              <c:f>'DEKSRIPSI VARIABEL'!$I$141:$I$149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VARIABEL'!$K$141:$K$149</c:f>
              <c:numCache>
                <c:formatCode>0</c:formatCode>
                <c:ptCount val="9"/>
                <c:pt idx="0">
                  <c:v>30666</c:v>
                </c:pt>
                <c:pt idx="1">
                  <c:v>28357</c:v>
                </c:pt>
                <c:pt idx="2">
                  <c:v>31458</c:v>
                </c:pt>
                <c:pt idx="3">
                  <c:v>32085</c:v>
                </c:pt>
                <c:pt idx="4">
                  <c:v>32229</c:v>
                </c:pt>
                <c:pt idx="5">
                  <c:v>33174</c:v>
                </c:pt>
                <c:pt idx="6">
                  <c:v>34782</c:v>
                </c:pt>
                <c:pt idx="7">
                  <c:v>36912</c:v>
                </c:pt>
                <c:pt idx="8">
                  <c:v>37300</c:v>
                </c:pt>
              </c:numCache>
            </c:numRef>
          </c:val>
          <c:smooth val="0"/>
          <c:extLst>
            <c:ext xmlns:c16="http://schemas.microsoft.com/office/drawing/2014/chart" uri="{C3380CC4-5D6E-409C-BE32-E72D297353CC}">
              <c16:uniqueId val="{00000001-9C1B-4720-8609-5F339860BEAD}"/>
            </c:ext>
          </c:extLst>
        </c:ser>
        <c:ser>
          <c:idx val="2"/>
          <c:order val="2"/>
          <c:tx>
            <c:strRef>
              <c:f>'DEKSRIPSI VARIABEL'!$L$140</c:f>
              <c:strCache>
                <c:ptCount val="1"/>
                <c:pt idx="0">
                  <c:v>Wooden logs</c:v>
                </c:pt>
              </c:strCache>
            </c:strRef>
          </c:tx>
          <c:cat>
            <c:numRef>
              <c:f>'DEKSRIPSI VARIABEL'!$I$141:$I$149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VARIABEL'!$L$141:$L$149</c:f>
              <c:numCache>
                <c:formatCode>0</c:formatCode>
                <c:ptCount val="9"/>
                <c:pt idx="0">
                  <c:v>10045500</c:v>
                </c:pt>
                <c:pt idx="1">
                  <c:v>12296738</c:v>
                </c:pt>
                <c:pt idx="2">
                  <c:v>12835338</c:v>
                </c:pt>
                <c:pt idx="3">
                  <c:v>12563375</c:v>
                </c:pt>
                <c:pt idx="4">
                  <c:v>13374204</c:v>
                </c:pt>
                <c:pt idx="5">
                  <c:v>14285991</c:v>
                </c:pt>
                <c:pt idx="6">
                  <c:v>14811274</c:v>
                </c:pt>
                <c:pt idx="7">
                  <c:v>18200038</c:v>
                </c:pt>
                <c:pt idx="8">
                  <c:v>18540188</c:v>
                </c:pt>
              </c:numCache>
            </c:numRef>
          </c:val>
          <c:smooth val="0"/>
          <c:extLst>
            <c:ext xmlns:c16="http://schemas.microsoft.com/office/drawing/2014/chart" uri="{C3380CC4-5D6E-409C-BE32-E72D297353CC}">
              <c16:uniqueId val="{00000002-9C1B-4720-8609-5F339860BEAD}"/>
            </c:ext>
          </c:extLst>
        </c:ser>
        <c:dLbls>
          <c:showLegendKey val="0"/>
          <c:showVal val="0"/>
          <c:showCatName val="0"/>
          <c:showSerName val="0"/>
          <c:showPercent val="0"/>
          <c:showBubbleSize val="0"/>
        </c:dLbls>
        <c:marker val="1"/>
        <c:smooth val="0"/>
        <c:axId val="180865280"/>
        <c:axId val="185466880"/>
      </c:lineChart>
      <c:catAx>
        <c:axId val="180865280"/>
        <c:scaling>
          <c:orientation val="minMax"/>
        </c:scaling>
        <c:delete val="0"/>
        <c:axPos val="b"/>
        <c:numFmt formatCode="General" sourceLinked="1"/>
        <c:majorTickMark val="out"/>
        <c:minorTickMark val="none"/>
        <c:tickLblPos val="nextTo"/>
        <c:txPr>
          <a:bodyPr/>
          <a:lstStyle/>
          <a:p>
            <a:pPr>
              <a:defRPr sz="600"/>
            </a:pPr>
            <a:endParaRPr lang="en-US"/>
          </a:p>
        </c:txPr>
        <c:crossAx val="185466880"/>
        <c:crosses val="autoZero"/>
        <c:auto val="1"/>
        <c:lblAlgn val="ctr"/>
        <c:lblOffset val="100"/>
        <c:noMultiLvlLbl val="0"/>
      </c:catAx>
      <c:valAx>
        <c:axId val="185466880"/>
        <c:scaling>
          <c:orientation val="minMax"/>
        </c:scaling>
        <c:delete val="0"/>
        <c:axPos val="l"/>
        <c:majorGridlines/>
        <c:numFmt formatCode="0" sourceLinked="1"/>
        <c:majorTickMark val="out"/>
        <c:minorTickMark val="none"/>
        <c:tickLblPos val="nextTo"/>
        <c:crossAx val="180865280"/>
        <c:crosses val="autoZero"/>
        <c:crossBetween val="between"/>
      </c:valAx>
    </c:plotArea>
    <c:legend>
      <c:legendPos val="r"/>
      <c:overlay val="0"/>
    </c:legend>
    <c:plotVisOnly val="1"/>
    <c:dispBlanksAs val="gap"/>
    <c:showDLblsOverMax val="0"/>
  </c:chart>
  <c:txPr>
    <a:bodyPr/>
    <a:lstStyle/>
    <a:p>
      <a:pPr>
        <a:defRPr sz="7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'DEKSRIPSI VARIABEL'!$J$179</c:f>
              <c:strCache>
                <c:ptCount val="1"/>
                <c:pt idx="0">
                  <c:v>Natural gas</c:v>
                </c:pt>
              </c:strCache>
            </c:strRef>
          </c:tx>
          <c:cat>
            <c:numRef>
              <c:f>'DEKSRIPSI VARIABEL'!$I$180:$I$188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VARIABEL'!$J$180:$J$188</c:f>
              <c:numCache>
                <c:formatCode>0</c:formatCode>
                <c:ptCount val="9"/>
                <c:pt idx="0">
                  <c:v>67151175</c:v>
                </c:pt>
                <c:pt idx="1">
                  <c:v>57514085</c:v>
                </c:pt>
                <c:pt idx="2">
                  <c:v>84030715</c:v>
                </c:pt>
                <c:pt idx="3">
                  <c:v>105712259</c:v>
                </c:pt>
                <c:pt idx="4">
                  <c:v>104024683</c:v>
                </c:pt>
                <c:pt idx="5">
                  <c:v>132950883</c:v>
                </c:pt>
                <c:pt idx="6">
                  <c:v>115819709</c:v>
                </c:pt>
                <c:pt idx="7">
                  <c:v>89553966</c:v>
                </c:pt>
                <c:pt idx="8">
                  <c:v>104047714</c:v>
                </c:pt>
              </c:numCache>
            </c:numRef>
          </c:val>
          <c:smooth val="0"/>
          <c:extLst>
            <c:ext xmlns:c16="http://schemas.microsoft.com/office/drawing/2014/chart" uri="{C3380CC4-5D6E-409C-BE32-E72D297353CC}">
              <c16:uniqueId val="{00000000-EA0D-4085-8C8D-89A177957C53}"/>
            </c:ext>
          </c:extLst>
        </c:ser>
        <c:ser>
          <c:idx val="1"/>
          <c:order val="1"/>
          <c:tx>
            <c:strRef>
              <c:f>'DEKSRIPSI VARIABEL'!$K$179</c:f>
              <c:strCache>
                <c:ptCount val="1"/>
                <c:pt idx="0">
                  <c:v>Coal</c:v>
                </c:pt>
              </c:strCache>
            </c:strRef>
          </c:tx>
          <c:cat>
            <c:numRef>
              <c:f>'DEKSRIPSI VARIABEL'!$I$180:$I$188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VARIABEL'!$K$180:$K$188</c:f>
              <c:numCache>
                <c:formatCode>0</c:formatCode>
                <c:ptCount val="9"/>
                <c:pt idx="0">
                  <c:v>770586552</c:v>
                </c:pt>
                <c:pt idx="1">
                  <c:v>778562955</c:v>
                </c:pt>
                <c:pt idx="2">
                  <c:v>780738105</c:v>
                </c:pt>
                <c:pt idx="3">
                  <c:v>788801514</c:v>
                </c:pt>
                <c:pt idx="4">
                  <c:v>793173992</c:v>
                </c:pt>
                <c:pt idx="5">
                  <c:v>784765971</c:v>
                </c:pt>
                <c:pt idx="6">
                  <c:v>807177693</c:v>
                </c:pt>
                <c:pt idx="7">
                  <c:v>727803484</c:v>
                </c:pt>
                <c:pt idx="8">
                  <c:v>672502641</c:v>
                </c:pt>
              </c:numCache>
            </c:numRef>
          </c:val>
          <c:smooth val="0"/>
          <c:extLst>
            <c:ext xmlns:c16="http://schemas.microsoft.com/office/drawing/2014/chart" uri="{C3380CC4-5D6E-409C-BE32-E72D297353CC}">
              <c16:uniqueId val="{00000001-EA0D-4085-8C8D-89A177957C53}"/>
            </c:ext>
          </c:extLst>
        </c:ser>
        <c:ser>
          <c:idx val="2"/>
          <c:order val="2"/>
          <c:tx>
            <c:strRef>
              <c:f>'DEKSRIPSI VARIABEL'!$L$179</c:f>
              <c:strCache>
                <c:ptCount val="1"/>
                <c:pt idx="0">
                  <c:v>Excavation (A, B, C)</c:v>
                </c:pt>
              </c:strCache>
            </c:strRef>
          </c:tx>
          <c:cat>
            <c:numRef>
              <c:f>'DEKSRIPSI VARIABEL'!$I$180:$I$188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'DEKSRIPSI VARIABEL'!$L$180:$L$188</c:f>
              <c:numCache>
                <c:formatCode>0</c:formatCode>
                <c:ptCount val="9"/>
                <c:pt idx="0">
                  <c:v>91946106</c:v>
                </c:pt>
                <c:pt idx="1">
                  <c:v>83270232</c:v>
                </c:pt>
                <c:pt idx="2">
                  <c:v>82492389</c:v>
                </c:pt>
                <c:pt idx="3">
                  <c:v>83825460</c:v>
                </c:pt>
                <c:pt idx="4">
                  <c:v>96366978</c:v>
                </c:pt>
                <c:pt idx="5">
                  <c:v>87164685</c:v>
                </c:pt>
                <c:pt idx="6">
                  <c:v>81507645</c:v>
                </c:pt>
                <c:pt idx="7">
                  <c:v>31754502</c:v>
                </c:pt>
                <c:pt idx="8">
                  <c:v>44782281</c:v>
                </c:pt>
              </c:numCache>
            </c:numRef>
          </c:val>
          <c:smooth val="0"/>
          <c:extLst>
            <c:ext xmlns:c16="http://schemas.microsoft.com/office/drawing/2014/chart" uri="{C3380CC4-5D6E-409C-BE32-E72D297353CC}">
              <c16:uniqueId val="{00000002-EA0D-4085-8C8D-89A177957C53}"/>
            </c:ext>
          </c:extLst>
        </c:ser>
        <c:dLbls>
          <c:showLegendKey val="0"/>
          <c:showVal val="0"/>
          <c:showCatName val="0"/>
          <c:showSerName val="0"/>
          <c:showPercent val="0"/>
          <c:showBubbleSize val="0"/>
        </c:dLbls>
        <c:marker val="1"/>
        <c:smooth val="0"/>
        <c:axId val="185779328"/>
        <c:axId val="185780864"/>
      </c:lineChart>
      <c:catAx>
        <c:axId val="185779328"/>
        <c:scaling>
          <c:orientation val="minMax"/>
        </c:scaling>
        <c:delete val="0"/>
        <c:axPos val="b"/>
        <c:numFmt formatCode="General" sourceLinked="1"/>
        <c:majorTickMark val="out"/>
        <c:minorTickMark val="none"/>
        <c:tickLblPos val="nextTo"/>
        <c:txPr>
          <a:bodyPr/>
          <a:lstStyle/>
          <a:p>
            <a:pPr>
              <a:defRPr sz="600"/>
            </a:pPr>
            <a:endParaRPr lang="en-US"/>
          </a:p>
        </c:txPr>
        <c:crossAx val="185780864"/>
        <c:crosses val="autoZero"/>
        <c:auto val="1"/>
        <c:lblAlgn val="ctr"/>
        <c:lblOffset val="100"/>
        <c:noMultiLvlLbl val="0"/>
      </c:catAx>
      <c:valAx>
        <c:axId val="185780864"/>
        <c:scaling>
          <c:orientation val="minMax"/>
        </c:scaling>
        <c:delete val="0"/>
        <c:axPos val="l"/>
        <c:majorGridlines/>
        <c:numFmt formatCode="0" sourceLinked="1"/>
        <c:majorTickMark val="out"/>
        <c:minorTickMark val="none"/>
        <c:tickLblPos val="nextTo"/>
        <c:crossAx val="185779328"/>
        <c:crosses val="autoZero"/>
        <c:crossBetween val="between"/>
      </c:valAx>
    </c:plotArea>
    <c:legend>
      <c:legendPos val="r"/>
      <c:overlay val="0"/>
      <c:txPr>
        <a:bodyPr/>
        <a:lstStyle/>
        <a:p>
          <a:pPr>
            <a:defRPr sz="600"/>
          </a:pPr>
          <a:endParaRPr lang="en-US"/>
        </a:p>
      </c:txPr>
    </c:legend>
    <c:plotVisOnly val="1"/>
    <c:dispBlanksAs val="gap"/>
    <c:showDLblsOverMax val="0"/>
  </c:chart>
  <c:txPr>
    <a:bodyPr/>
    <a:lstStyle/>
    <a:p>
      <a:pPr>
        <a:defRPr sz="7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6148</Words>
  <Characters>35047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koreascholar</vt:lpstr>
    </vt:vector>
  </TitlesOfParts>
  <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koreascholar</dc:title>
  <dc:creator>koreascholar</dc:creator>
  <cp:lastModifiedBy>Dongho Kim</cp:lastModifiedBy>
  <cp:revision>2</cp:revision>
  <cp:lastPrinted>2019-12-16T18:58:00Z</cp:lastPrinted>
  <dcterms:created xsi:type="dcterms:W3CDTF">2020-01-09T17:06:00Z</dcterms:created>
  <dcterms:modified xsi:type="dcterms:W3CDTF">2020-01-09T17:06:00Z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LastSaved">
    <vt:filetime>2019-12-14T00:00:00Z</vt:filetime>
  </property>
</Properties>
</file>