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CA08B" w14:textId="77777777" w:rsidR="00EB652F" w:rsidRPr="00EB652F" w:rsidRDefault="00EB652F" w:rsidP="00EB652F">
      <w:pPr>
        <w:shd w:val="clear" w:color="auto" w:fill="FFFFFF"/>
        <w:spacing w:after="60" w:line="240" w:lineRule="auto"/>
        <w:ind w:right="240"/>
        <w:outlineLvl w:val="2"/>
        <w:rPr>
          <w:rFonts w:ascii="Georgia" w:eastAsia="Times New Roman" w:hAnsi="Georgia" w:cs="Tahoma"/>
          <w:color w:val="000000"/>
          <w:sz w:val="32"/>
          <w:szCs w:val="32"/>
          <w:lang w:val="en-ID" w:eastAsia="en-ID"/>
        </w:rPr>
      </w:pPr>
      <w:r w:rsidRPr="00EB652F">
        <w:rPr>
          <w:rFonts w:ascii="Georgia" w:eastAsia="Times New Roman" w:hAnsi="Georgia" w:cs="Tahoma"/>
          <w:color w:val="000000"/>
          <w:sz w:val="32"/>
          <w:szCs w:val="32"/>
          <w:lang w:val="en-ID" w:eastAsia="en-ID"/>
        </w:rPr>
        <w:t>Pengaruh harga spot, nilai tukar usd dan inflasi terhadap harga futures komoditas CPO pada bursa komoditas dan derivatif Indonesia</w:t>
      </w:r>
    </w:p>
    <w:p w14:paraId="78C7BE72" w14:textId="77777777" w:rsidR="00EB652F" w:rsidRPr="00EB652F" w:rsidRDefault="00EB652F" w:rsidP="00EB652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i/>
          <w:iCs/>
          <w:color w:val="222222"/>
          <w:sz w:val="18"/>
          <w:szCs w:val="18"/>
          <w:lang w:val="en-ID" w:eastAsia="en-ID"/>
        </w:rPr>
        <w:t>Adeya Maulidna, Iskandar Iskandar, Muhammad Abadan Syakura</w:t>
      </w:r>
    </w:p>
    <w:p w14:paraId="21E22655" w14:textId="77777777" w:rsidR="00EB652F" w:rsidRPr="00EB652F" w:rsidRDefault="00EB652F" w:rsidP="00EB6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7BE55BB9" w14:textId="77777777" w:rsidR="00EB652F" w:rsidRPr="00EB652F" w:rsidRDefault="00EB652F" w:rsidP="00EB652F">
      <w:pPr>
        <w:shd w:val="clear" w:color="auto" w:fill="FFFFFF"/>
        <w:spacing w:before="180" w:after="60" w:line="240" w:lineRule="auto"/>
        <w:ind w:right="240"/>
        <w:outlineLvl w:val="3"/>
        <w:rPr>
          <w:rFonts w:ascii="Georgia" w:eastAsia="Times New Roman" w:hAnsi="Georgia" w:cs="Tahoma"/>
          <w:color w:val="000000"/>
          <w:sz w:val="27"/>
          <w:szCs w:val="27"/>
          <w:lang w:val="en-ID" w:eastAsia="en-ID"/>
        </w:rPr>
      </w:pPr>
      <w:r w:rsidRPr="00EB652F">
        <w:rPr>
          <w:rFonts w:ascii="Georgia" w:eastAsia="Times New Roman" w:hAnsi="Georgia" w:cs="Tahoma"/>
          <w:color w:val="000000"/>
          <w:sz w:val="27"/>
          <w:szCs w:val="27"/>
          <w:lang w:val="en-ID" w:eastAsia="en-ID"/>
        </w:rPr>
        <w:t>Abstract</w:t>
      </w:r>
    </w:p>
    <w:p w14:paraId="28FCC809" w14:textId="77777777" w:rsidR="00EB652F" w:rsidRPr="00EB652F" w:rsidRDefault="00EB652F" w:rsidP="00EB652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</w:p>
    <w:p w14:paraId="0492D69E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Penelitian ini bertujuan untuk menguji pengaruh harga </w:t>
      </w:r>
      <w:r w:rsidRPr="00EB652F">
        <w:rPr>
          <w:rFonts w:ascii="Tahoma" w:eastAsia="Times New Roman" w:hAnsi="Tahoma" w:cs="Tahoma"/>
          <w:i/>
          <w:iCs/>
          <w:color w:val="222222"/>
          <w:sz w:val="18"/>
          <w:szCs w:val="18"/>
          <w:lang w:val="en-ID" w:eastAsia="en-ID"/>
        </w:rPr>
        <w:t>spot</w:t>
      </w: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, nilai tukar USD dan inflasi terhadap harga</w:t>
      </w:r>
      <w:r w:rsidRPr="00EB652F">
        <w:rPr>
          <w:rFonts w:ascii="Tahoma" w:eastAsia="Times New Roman" w:hAnsi="Tahoma" w:cs="Tahoma"/>
          <w:i/>
          <w:iCs/>
          <w:color w:val="222222"/>
          <w:sz w:val="18"/>
          <w:szCs w:val="18"/>
          <w:lang w:val="en-ID" w:eastAsia="en-ID"/>
        </w:rPr>
        <w:t> futures</w:t>
      </w: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 komoditas CPO pada Bursa Komoditas dan Derivatif Indonesia periode 2014-2019. Penelitian ini menggunakan harga </w:t>
      </w:r>
      <w:r w:rsidRPr="00EB652F">
        <w:rPr>
          <w:rFonts w:ascii="Tahoma" w:eastAsia="Times New Roman" w:hAnsi="Tahoma" w:cs="Tahoma"/>
          <w:i/>
          <w:iCs/>
          <w:color w:val="222222"/>
          <w:sz w:val="18"/>
          <w:szCs w:val="18"/>
          <w:lang w:val="en-ID" w:eastAsia="en-ID"/>
        </w:rPr>
        <w:t>futures </w:t>
      </w: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pada penyelesaian akhir historis bulanan selama 6 tahun yakni dari Januari 2014 hingga Desember 2019. Sample dipilih menggunakan </w:t>
      </w:r>
      <w:r w:rsidRPr="00EB652F">
        <w:rPr>
          <w:rFonts w:ascii="Tahoma" w:eastAsia="Times New Roman" w:hAnsi="Tahoma" w:cs="Tahoma"/>
          <w:i/>
          <w:iCs/>
          <w:color w:val="222222"/>
          <w:sz w:val="18"/>
          <w:szCs w:val="18"/>
          <w:lang w:val="en-ID" w:eastAsia="en-ID"/>
        </w:rPr>
        <w:t>purposive sampling</w:t>
      </w: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 pada komoditas CPO dengan total data yang diobservasi sebanyak 67 unit data. Jenis data yang digunakan adalah berupa data sekunder yang diperoleh melalui </w:t>
      </w:r>
      <w:hyperlink r:id="rId4" w:history="1">
        <w:r w:rsidRPr="00EB652F">
          <w:rPr>
            <w:rFonts w:ascii="Tahoma" w:eastAsia="Times New Roman" w:hAnsi="Tahoma" w:cs="Tahoma"/>
            <w:i/>
            <w:iCs/>
            <w:color w:val="094D8E"/>
            <w:sz w:val="18"/>
            <w:szCs w:val="18"/>
            <w:lang w:val="en-ID" w:eastAsia="en-ID"/>
          </w:rPr>
          <w:t>www.icdx.co.id</w:t>
        </w:r>
      </w:hyperlink>
      <w:r w:rsidRPr="00EB652F">
        <w:rPr>
          <w:rFonts w:ascii="Tahoma" w:eastAsia="Times New Roman" w:hAnsi="Tahoma" w:cs="Tahoma"/>
          <w:i/>
          <w:iCs/>
          <w:color w:val="222222"/>
          <w:sz w:val="18"/>
          <w:szCs w:val="18"/>
          <w:lang w:val="en-ID" w:eastAsia="en-ID"/>
        </w:rPr>
        <w:t>.</w:t>
      </w: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 Berdasarkan hasil analisis, diperoleh bahwa harga </w:t>
      </w:r>
      <w:r w:rsidRPr="00EB652F">
        <w:rPr>
          <w:rFonts w:ascii="Tahoma" w:eastAsia="Times New Roman" w:hAnsi="Tahoma" w:cs="Tahoma"/>
          <w:i/>
          <w:iCs/>
          <w:color w:val="222222"/>
          <w:sz w:val="18"/>
          <w:szCs w:val="18"/>
          <w:lang w:val="en-ID" w:eastAsia="en-ID"/>
        </w:rPr>
        <w:t>spot</w:t>
      </w: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 berpengaruh signifikan positif terhadap harga </w:t>
      </w:r>
      <w:r w:rsidRPr="00EB652F">
        <w:rPr>
          <w:rFonts w:ascii="Tahoma" w:eastAsia="Times New Roman" w:hAnsi="Tahoma" w:cs="Tahoma"/>
          <w:i/>
          <w:iCs/>
          <w:color w:val="222222"/>
          <w:sz w:val="18"/>
          <w:szCs w:val="18"/>
          <w:lang w:val="en-ID" w:eastAsia="en-ID"/>
        </w:rPr>
        <w:t>futures</w:t>
      </w: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, nilai tukar USD berpengaruh signifikan negatif terhadap harga </w:t>
      </w:r>
      <w:r w:rsidRPr="00EB652F">
        <w:rPr>
          <w:rFonts w:ascii="Tahoma" w:eastAsia="Times New Roman" w:hAnsi="Tahoma" w:cs="Tahoma"/>
          <w:i/>
          <w:iCs/>
          <w:color w:val="222222"/>
          <w:sz w:val="18"/>
          <w:szCs w:val="18"/>
          <w:lang w:val="en-ID" w:eastAsia="en-ID"/>
        </w:rPr>
        <w:t>futures</w:t>
      </w: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 komoditas CPO dan inflasi berpengaruh signifikan positif terhadap harga </w:t>
      </w:r>
      <w:r w:rsidRPr="00EB652F">
        <w:rPr>
          <w:rFonts w:ascii="Tahoma" w:eastAsia="Times New Roman" w:hAnsi="Tahoma" w:cs="Tahoma"/>
          <w:i/>
          <w:iCs/>
          <w:color w:val="222222"/>
          <w:sz w:val="18"/>
          <w:szCs w:val="18"/>
          <w:lang w:val="en-ID" w:eastAsia="en-ID"/>
        </w:rPr>
        <w:t>futures </w:t>
      </w: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komoditas CPO.</w:t>
      </w:r>
    </w:p>
    <w:p w14:paraId="10401A9B" w14:textId="77777777" w:rsidR="00EB652F" w:rsidRPr="00EB652F" w:rsidRDefault="00EB652F" w:rsidP="00EB652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</w:p>
    <w:p w14:paraId="0649706C" w14:textId="77777777" w:rsidR="00EB652F" w:rsidRPr="00EB652F" w:rsidRDefault="00EB652F" w:rsidP="00EB652F">
      <w:pPr>
        <w:shd w:val="clear" w:color="auto" w:fill="FFFFFF"/>
        <w:spacing w:before="180" w:after="60" w:line="240" w:lineRule="auto"/>
        <w:ind w:right="240"/>
        <w:outlineLvl w:val="3"/>
        <w:rPr>
          <w:rFonts w:ascii="Georgia" w:eastAsia="Times New Roman" w:hAnsi="Georgia" w:cs="Tahoma"/>
          <w:color w:val="000000"/>
          <w:sz w:val="27"/>
          <w:szCs w:val="27"/>
          <w:lang w:val="en-ID" w:eastAsia="en-ID"/>
        </w:rPr>
      </w:pPr>
      <w:r w:rsidRPr="00EB652F">
        <w:rPr>
          <w:rFonts w:ascii="Georgia" w:eastAsia="Times New Roman" w:hAnsi="Georgia" w:cs="Tahoma"/>
          <w:color w:val="000000"/>
          <w:sz w:val="27"/>
          <w:szCs w:val="27"/>
          <w:lang w:val="en-ID" w:eastAsia="en-ID"/>
        </w:rPr>
        <w:t>Keywords</w:t>
      </w:r>
    </w:p>
    <w:p w14:paraId="4A6A96FB" w14:textId="77777777" w:rsidR="00EB652F" w:rsidRPr="00EB652F" w:rsidRDefault="00EB652F" w:rsidP="00EB652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</w:p>
    <w:p w14:paraId="762EFA6A" w14:textId="77777777" w:rsidR="00EB652F" w:rsidRPr="00EB652F" w:rsidRDefault="00EB652F" w:rsidP="00EB652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Harga spot; nilai tukar USD; inflasi; harga futures</w:t>
      </w:r>
    </w:p>
    <w:p w14:paraId="0349AF8B" w14:textId="77777777" w:rsidR="00EB652F" w:rsidRPr="00EB652F" w:rsidRDefault="00EB652F" w:rsidP="00EB652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</w:p>
    <w:p w14:paraId="3CE024DD" w14:textId="77777777" w:rsidR="00EB652F" w:rsidRPr="00EB652F" w:rsidRDefault="00EB652F" w:rsidP="00EB652F">
      <w:pPr>
        <w:shd w:val="clear" w:color="auto" w:fill="FFFFFF"/>
        <w:spacing w:before="180" w:after="60" w:line="240" w:lineRule="auto"/>
        <w:ind w:right="240"/>
        <w:outlineLvl w:val="3"/>
        <w:rPr>
          <w:rFonts w:ascii="Georgia" w:eastAsia="Times New Roman" w:hAnsi="Georgia" w:cs="Tahoma"/>
          <w:color w:val="000000"/>
          <w:sz w:val="27"/>
          <w:szCs w:val="27"/>
          <w:lang w:val="en-ID" w:eastAsia="en-ID"/>
        </w:rPr>
      </w:pPr>
      <w:r w:rsidRPr="00EB652F">
        <w:rPr>
          <w:rFonts w:ascii="Georgia" w:eastAsia="Times New Roman" w:hAnsi="Georgia" w:cs="Tahoma"/>
          <w:color w:val="000000"/>
          <w:sz w:val="27"/>
          <w:szCs w:val="27"/>
          <w:lang w:val="en-ID" w:eastAsia="en-ID"/>
        </w:rPr>
        <w:t>References</w:t>
      </w:r>
    </w:p>
    <w:p w14:paraId="7DF3030F" w14:textId="77777777" w:rsidR="00EB652F" w:rsidRPr="00EB652F" w:rsidRDefault="00EB652F" w:rsidP="00EB652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</w:p>
    <w:p w14:paraId="6EC93FF2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Amalia, S., &amp; Gani, I. (2015). Alat Analisis Data, Aplikasi Statistik untuk Penelitian Bidang Ekonomi dan Sosial (M. Bendatu (ed.); 1st ed.). Penerbit Andi.</w:t>
      </w:r>
    </w:p>
    <w:p w14:paraId="39A71D87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BAPPEBTI. (2000). Page 14. Gastrointestinal Endoscopy, 14â€“22.</w:t>
      </w:r>
    </w:p>
    <w:p w14:paraId="5B248C33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BAPPEBTI. (2019). Perdagangan Berjangka Komoditi. https://www.ptkbi.com/anggota-mitra/perdagangan-berjangka-komoditi/47-pt-global-kapital-investama-berjangka</w:t>
      </w:r>
    </w:p>
    <w:p w14:paraId="2423574C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BAPPENAS. (2019). Perkembangan Harga Komoditas Internasional Bulan Januari 2019.</w:t>
      </w:r>
    </w:p>
    <w:p w14:paraId="7AD8BF1F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BEI. (2020). PT Bursa Efek Indonesia. https://www.idx.co.id/produk/derivatif/</w:t>
      </w:r>
    </w:p>
    <w:p w14:paraId="6828F129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CME. (2020). What is Contango and Backwardation. CMEGROUP. https://www.cmegroup.com/education/courses/introduction-to-ferrous-metals/what-is-contango-and-backwardation.html</w:t>
      </w:r>
    </w:p>
    <w:p w14:paraId="05B89720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Dewi, A., Siregar, H., &amp; Hartoyo, S. (2011). Analisis Kontrak Berjangka Olein di Bursa Berjangka Jakarta. In Jurnal Manajemen dan Agribisnis (Vol. 8, Issue 1, pp. 1â€“9).</w:t>
      </w:r>
    </w:p>
    <w:p w14:paraId="158A6950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Finance, T. (2020). Mundur 2020. Jurnal Keuangan. https://id.toptipfinance.com/backwardation</w:t>
      </w:r>
    </w:p>
    <w:p w14:paraId="79F6EEDC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Futures, K. (2018). Kontakperkasa Futures - Mekanisme Perdagangan. https://www.kp-futures.com/index.php/edukasi/mekanisme-perdagangan</w:t>
      </w:r>
    </w:p>
    <w:p w14:paraId="11367518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GAPKI. (2018). Refleksi Industri Kelapa Sawit 2017 dan Prospek 2018 | Gabungan Pengusaha Kelapa Sawit Indonesia (GAPKI). https://gapki.id/news/4140/refleksi-industri-kelapa-sawit-2017-dan-prospek-2018</w:t>
      </w:r>
    </w:p>
    <w:p w14:paraId="7136E744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lastRenderedPageBreak/>
        <w:t>Gorton, G., &amp; Rouwenhorst, K. G. (2004). Facts and Fantasies About Commodity Futures. National Bureau Of Economic Research, 10595, 15. http://www.nber.org/papers/w10595</w:t>
      </w:r>
    </w:p>
    <w:p w14:paraId="62531BD4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Gunarsih, T., Sayekti, F., &amp; Dewanti, R. L. (2017). Spot, Forward and Futures of Cpo Analysis: the Case of Indonesia Commodity and Derivatives. International Journal of Advanced Engineering and Management Research, 2(December). www.ijaemr.comhttp://ijaemr.com/</w:t>
      </w:r>
    </w:p>
    <w:p w14:paraId="295F853C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Hernendi, S. (2020). Apa itu Spot Price? Â» Kamus Istilah Keuangan &amp; Investasi. Syarifhernendi.Com. https://www.syafrilhernendi.com/glossary/spot-price/</w:t>
      </w:r>
    </w:p>
    <w:p w14:paraId="508713E1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ICDX. (2019). Perdagangan Komoditi di Bursa Berjangka I. 1â€“29.</w:t>
      </w:r>
    </w:p>
    <w:p w14:paraId="69128AB5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Irawan, P. B. (2012). Fundamental Pasar Minyak dan Harga Mendatang. 1â€“11.</w:t>
      </w:r>
    </w:p>
    <w:p w14:paraId="07603825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Kennedy, P. S. J., &amp; Sinaga, M. G. P. S. (2019). Pengaruh Spot Rates dan Forward Rates Terhadap Futures Rates Pada Harga Komoditas Olein di BBJ 2015-2017 Posma. Jurnal Ilmiah FE-UMM, 13(1), 34â€“45.</w:t>
      </w:r>
    </w:p>
    <w:p w14:paraId="1156969F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Kontakperkasa, P. (2018). Kontakperkasa Futures - Glosari - Backwardation. https://www.kp-futures.com/index.php/edukasi/glosari/19-backwardation</w:t>
      </w:r>
    </w:p>
    <w:p w14:paraId="41DD078F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Kusuma, M. (2020). BKDI Optimistis Transaksi Multilateral Naik Dua Kali Lipat Pada Tahun Ini. KONTAN.CO.ID. https://investasi.kontan.co.id/news/bkdi-optimistis-transaksi-multilateral-naik-dua-kali-lipat-pada-tahun-ini</w:t>
      </w:r>
    </w:p>
    <w:p w14:paraId="5777E2D2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Mohamad, A., Isnurhadi, &amp; Wahyuni, Y. (2018). Effect of Spot Rate, Forward Rate, Inflation Rate And Interest Rate Against the Future Spot on the FX Market of Southeast Asia Region. Journal of Management Science, 53(9), 1689â€“1699.</w:t>
      </w:r>
    </w:p>
    <w:p w14:paraId="2D458561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Mursalin. (2011). Kajian Teori Akuntansi Lindung Nilai Menurut PSAK No. 55 Mursalin*) ABSTRAK. Media Wahana Ekonomika, 55(55).</w:t>
      </w:r>
    </w:p>
    <w:p w14:paraId="5F1AB413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Pramasha, A. R., &amp; Widyarti, T. E. (2015). Analisis Pemgaruh SBI, Indeks Obligasi Pemerintah, Nilai Kurs, Harga CPO dan Inflasi terhadap Kontrak Futures Komoditi Olein dI Bursa Berjangka Jakarta Periode 2011-2013. Diponegoro Journal of Management, 4(2009), 1â€“12.</w:t>
      </w:r>
    </w:p>
    <w:p w14:paraId="1E7B34F1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Renti, A. M. (2012). Perdagangan Berjangka Komoditi Dan Kajian Hukum Kontrak Derivatif Forex Dan Indeks Saham Asing Dalam Industri Perdagangan Berjangka Di Indonesia. Jurnal Hukum &amp; Pembangunan, 42(1), 122. https://doi.org/10.21143/jhp.vol42.no1.283</w:t>
      </w:r>
    </w:p>
    <w:p w14:paraId="77AAB493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Syakura, M. A., &amp; Baridwan, Z. (2014). Determinan Perencanaan Pajak dan Perilaku Kepatuhan Wajib Pajak Badan. Jurnal Akuntansi Multiparadigma, 16(2), 96â€“104.</w:t>
      </w:r>
    </w:p>
    <w:p w14:paraId="6ADE5FFD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Triamonica, C., &amp; Asandimitra, N. (2020). Determinan Kontrak Futures Komoditi Timah di Bursa Komoditi dan Derivatif Indonesia. Ilmu Managemen, 8, 564â€“578.</w:t>
      </w:r>
    </w:p>
    <w:p w14:paraId="70155F06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Yanti, I. G. A. K. D., &amp; Artini, L. G. S. (2013). Memprediksi Future Spot Pada Pasar Valas Kawasan Asia Tenggara. Jurnal Manajemen, Strategi Bisnis, Dan Kewirausahaan, 7(2), 75â€“85.</w:t>
      </w:r>
    </w:p>
    <w:p w14:paraId="7EEB5B97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Yudarrudin, R. (2014). Statistik Ekonomi, Aplikasi Dengan Program SPSS Versi 20 (1st ed.). Interpena Yogyakarta.</w:t>
      </w:r>
    </w:p>
    <w:p w14:paraId="2625BE25" w14:textId="77777777" w:rsidR="00EB652F" w:rsidRPr="00EB652F" w:rsidRDefault="00EB652F" w:rsidP="00EB652F">
      <w:pPr>
        <w:shd w:val="clear" w:color="auto" w:fill="FFFFFF"/>
        <w:spacing w:before="240" w:after="24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t>Zeinora, Z. (2017). Hedging, Future Contract Dengan SWAP Contract Untuk Meminimalisasi Risiko Fluktuasi Kurs Valas. JABE (Journal of Applied Business and Economic), 3(1), 10. https://doi.org/10.30998/jabe.v3i1.175</w:t>
      </w:r>
    </w:p>
    <w:p w14:paraId="10FC68E3" w14:textId="77777777" w:rsidR="00EB652F" w:rsidRPr="00EB652F" w:rsidRDefault="00EB652F" w:rsidP="00EB652F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</w:pPr>
    </w:p>
    <w:p w14:paraId="6DB259F5" w14:textId="3E507EF8" w:rsidR="00012414" w:rsidRDefault="00EB652F" w:rsidP="00EB652F"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br/>
      </w:r>
      <w:r w:rsidRPr="00EB652F">
        <w:rPr>
          <w:rFonts w:ascii="Tahoma" w:eastAsia="Times New Roman" w:hAnsi="Tahoma" w:cs="Tahoma"/>
          <w:color w:val="222222"/>
          <w:sz w:val="18"/>
          <w:szCs w:val="18"/>
          <w:lang w:val="en-ID" w:eastAsia="en-ID"/>
        </w:rPr>
        <w:br/>
      </w:r>
      <w:r w:rsidRPr="00EB652F">
        <w:rPr>
          <w:rFonts w:ascii="Tahoma" w:eastAsia="Times New Roman" w:hAnsi="Tahoma" w:cs="Tahoma"/>
          <w:color w:val="222222"/>
          <w:sz w:val="18"/>
          <w:szCs w:val="18"/>
          <w:shd w:val="clear" w:color="auto" w:fill="FFFFFF"/>
          <w:lang w:val="en-ID" w:eastAsia="en-ID"/>
        </w:rPr>
        <w:t>DOI: </w:t>
      </w:r>
      <w:hyperlink r:id="rId5" w:history="1">
        <w:r w:rsidRPr="00EB652F">
          <w:rPr>
            <w:rFonts w:ascii="Tahoma" w:eastAsia="Times New Roman" w:hAnsi="Tahoma" w:cs="Tahoma"/>
            <w:color w:val="094D8E"/>
            <w:sz w:val="18"/>
            <w:szCs w:val="18"/>
            <w:u w:val="single"/>
            <w:shd w:val="clear" w:color="auto" w:fill="FFFFFF"/>
            <w:lang w:val="en-ID" w:eastAsia="en-ID"/>
          </w:rPr>
          <w:t>https://doi.org/10.29264/jiam.v7i2.9440</w:t>
        </w:r>
      </w:hyperlink>
    </w:p>
    <w:sectPr w:rsidR="000124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B652F"/>
    <w:rsid w:val="00012414"/>
    <w:rsid w:val="00D70866"/>
    <w:rsid w:val="00EB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0FFDA"/>
  <w15:chartTrackingRefBased/>
  <w15:docId w15:val="{5CC5FB48-B11E-4E5A-97F8-48DB0A373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B65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D" w:eastAsia="en-ID"/>
    </w:rPr>
  </w:style>
  <w:style w:type="paragraph" w:styleId="Heading4">
    <w:name w:val="heading 4"/>
    <w:basedOn w:val="Normal"/>
    <w:link w:val="Heading4Char"/>
    <w:uiPriority w:val="9"/>
    <w:qFormat/>
    <w:rsid w:val="00EB652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B652F"/>
    <w:rPr>
      <w:rFonts w:ascii="Times New Roman" w:eastAsia="Times New Roman" w:hAnsi="Times New Roman" w:cs="Times New Roman"/>
      <w:b/>
      <w:bCs/>
      <w:sz w:val="27"/>
      <w:szCs w:val="27"/>
      <w:lang w:val="en-ID" w:eastAsia="en-ID"/>
    </w:rPr>
  </w:style>
  <w:style w:type="character" w:customStyle="1" w:styleId="Heading4Char">
    <w:name w:val="Heading 4 Char"/>
    <w:basedOn w:val="DefaultParagraphFont"/>
    <w:link w:val="Heading4"/>
    <w:uiPriority w:val="9"/>
    <w:rsid w:val="00EB652F"/>
    <w:rPr>
      <w:rFonts w:ascii="Times New Roman" w:eastAsia="Times New Roman" w:hAnsi="Times New Roman" w:cs="Times New Roman"/>
      <w:b/>
      <w:bCs/>
      <w:sz w:val="24"/>
      <w:szCs w:val="24"/>
      <w:lang w:val="en-ID" w:eastAsia="en-ID"/>
    </w:rPr>
  </w:style>
  <w:style w:type="character" w:styleId="Emphasis">
    <w:name w:val="Emphasis"/>
    <w:basedOn w:val="DefaultParagraphFont"/>
    <w:uiPriority w:val="20"/>
    <w:qFormat/>
    <w:rsid w:val="00EB652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B6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styleId="Hyperlink">
    <w:name w:val="Hyperlink"/>
    <w:basedOn w:val="DefaultParagraphFont"/>
    <w:uiPriority w:val="99"/>
    <w:semiHidden/>
    <w:unhideWhenUsed/>
    <w:rsid w:val="00EB65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6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29264/jiam.v7i2.9440" TargetMode="External"/><Relationship Id="rId4" Type="http://schemas.openxmlformats.org/officeDocument/2006/relationships/hyperlink" Target="http://www.icdx.co.i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826</Words>
  <Characters>4714</Characters>
  <Application>Microsoft Office Word</Application>
  <DocSecurity>0</DocSecurity>
  <Lines>39</Lines>
  <Paragraphs>11</Paragraphs>
  <ScaleCrop>false</ScaleCrop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Sept 480</dc:creator>
  <cp:keywords/>
  <dc:description/>
  <cp:lastModifiedBy>Sept 480</cp:lastModifiedBy>
  <cp:revision>1</cp:revision>
  <dcterms:created xsi:type="dcterms:W3CDTF">2023-01-12T14:06:00Z</dcterms:created>
  <dcterms:modified xsi:type="dcterms:W3CDTF">2023-01-12T14:07:00Z</dcterms:modified>
</cp:coreProperties>
</file>