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FB18" w14:textId="57C7B88D" w:rsidR="0044513E" w:rsidRPr="00D919C5" w:rsidRDefault="00E53F4C" w:rsidP="00E53F4C">
      <w:pPr>
        <w:jc w:val="center"/>
        <w:rPr>
          <w:b/>
          <w:bCs/>
          <w:lang w:val="en-US"/>
        </w:rPr>
      </w:pPr>
      <w:r w:rsidRPr="00D919C5">
        <w:rPr>
          <w:b/>
          <w:bCs/>
          <w:lang w:val="en-US"/>
        </w:rPr>
        <w:t xml:space="preserve">The Effect of Mental Workload on Driver </w:t>
      </w:r>
      <w:r w:rsidR="00E05CA0" w:rsidRPr="00D919C5">
        <w:rPr>
          <w:b/>
          <w:bCs/>
          <w:lang w:val="en-US"/>
        </w:rPr>
        <w:t>Burnout</w:t>
      </w:r>
      <w:r w:rsidRPr="00D919C5">
        <w:rPr>
          <w:b/>
          <w:bCs/>
          <w:lang w:val="en-US"/>
        </w:rPr>
        <w:t xml:space="preserve"> of Oil and Gas Companies X</w:t>
      </w:r>
    </w:p>
    <w:p w14:paraId="302C8B51" w14:textId="1FC36196" w:rsidR="00E53F4C" w:rsidRPr="00D919C5" w:rsidRDefault="00E53F4C" w:rsidP="00E53F4C">
      <w:pPr>
        <w:jc w:val="center"/>
        <w:rPr>
          <w:i/>
          <w:iCs/>
          <w:sz w:val="20"/>
          <w:szCs w:val="20"/>
          <w:lang w:val="en-US"/>
        </w:rPr>
      </w:pPr>
      <w:proofErr w:type="spellStart"/>
      <w:r w:rsidRPr="00D919C5">
        <w:rPr>
          <w:i/>
          <w:iCs/>
          <w:sz w:val="20"/>
          <w:szCs w:val="20"/>
          <w:lang w:val="en-US"/>
        </w:rPr>
        <w:t>Mayestika</w:t>
      </w:r>
      <w:proofErr w:type="spellEnd"/>
      <w:r w:rsidRPr="00D919C5">
        <w:rPr>
          <w:i/>
          <w:iCs/>
          <w:sz w:val="20"/>
          <w:szCs w:val="20"/>
          <w:lang w:val="en-US"/>
        </w:rPr>
        <w:t xml:space="preserve"> </w:t>
      </w:r>
      <w:proofErr w:type="spellStart"/>
      <w:r w:rsidRPr="00D919C5">
        <w:rPr>
          <w:i/>
          <w:iCs/>
          <w:sz w:val="20"/>
          <w:szCs w:val="20"/>
          <w:lang w:val="en-US"/>
        </w:rPr>
        <w:t>Ayuni</w:t>
      </w:r>
      <w:proofErr w:type="spellEnd"/>
      <w:r w:rsidRPr="00D919C5">
        <w:rPr>
          <w:i/>
          <w:iCs/>
          <w:sz w:val="20"/>
          <w:szCs w:val="20"/>
          <w:lang w:val="en-US"/>
        </w:rPr>
        <w:t xml:space="preserve"> </w:t>
      </w:r>
      <w:proofErr w:type="spellStart"/>
      <w:r w:rsidRPr="00D919C5">
        <w:rPr>
          <w:i/>
          <w:iCs/>
          <w:sz w:val="20"/>
          <w:szCs w:val="20"/>
          <w:lang w:val="en-US"/>
        </w:rPr>
        <w:t>Fariza</w:t>
      </w:r>
      <w:proofErr w:type="spellEnd"/>
      <w:r w:rsidRPr="00D919C5">
        <w:rPr>
          <w:i/>
          <w:iCs/>
          <w:sz w:val="20"/>
          <w:szCs w:val="20"/>
          <w:lang w:val="en-US"/>
        </w:rPr>
        <w:t xml:space="preserve">, Lina </w:t>
      </w:r>
      <w:proofErr w:type="spellStart"/>
      <w:r w:rsidRPr="00D919C5">
        <w:rPr>
          <w:i/>
          <w:iCs/>
          <w:sz w:val="20"/>
          <w:szCs w:val="20"/>
          <w:lang w:val="en-US"/>
        </w:rPr>
        <w:t>Dianati</w:t>
      </w:r>
      <w:proofErr w:type="spellEnd"/>
      <w:r w:rsidRPr="00D919C5">
        <w:rPr>
          <w:i/>
          <w:iCs/>
          <w:sz w:val="20"/>
          <w:szCs w:val="20"/>
          <w:lang w:val="en-US"/>
        </w:rPr>
        <w:t xml:space="preserve"> </w:t>
      </w:r>
      <w:proofErr w:type="spellStart"/>
      <w:r w:rsidRPr="00D919C5">
        <w:rPr>
          <w:i/>
          <w:iCs/>
          <w:sz w:val="20"/>
          <w:szCs w:val="20"/>
          <w:lang w:val="en-US"/>
        </w:rPr>
        <w:t>Fathimahhayati</w:t>
      </w:r>
      <w:proofErr w:type="spellEnd"/>
      <w:r w:rsidRPr="00D919C5">
        <w:rPr>
          <w:i/>
          <w:iCs/>
          <w:sz w:val="20"/>
          <w:szCs w:val="20"/>
          <w:lang w:val="en-US"/>
        </w:rPr>
        <w:t>, Theresia Am</w:t>
      </w:r>
      <w:r w:rsidR="00320A46" w:rsidRPr="00D919C5">
        <w:rPr>
          <w:i/>
          <w:iCs/>
          <w:sz w:val="20"/>
          <w:szCs w:val="20"/>
          <w:lang w:val="en-US"/>
        </w:rPr>
        <w:t>e</w:t>
      </w:r>
      <w:r w:rsidRPr="00D919C5">
        <w:rPr>
          <w:i/>
          <w:iCs/>
          <w:sz w:val="20"/>
          <w:szCs w:val="20"/>
          <w:lang w:val="en-US"/>
        </w:rPr>
        <w:t>lia Pawitra</w:t>
      </w:r>
    </w:p>
    <w:p w14:paraId="7BAB6461" w14:textId="5CF93ED6" w:rsidR="00320A46" w:rsidRPr="00D919C5" w:rsidRDefault="00320A46" w:rsidP="00320A46">
      <w:pPr>
        <w:pStyle w:val="AuthorAffiliation"/>
        <w:rPr>
          <w:i w:val="0"/>
          <w:iCs/>
          <w:sz w:val="18"/>
          <w:szCs w:val="18"/>
        </w:rPr>
      </w:pPr>
      <w:r w:rsidRPr="00D919C5">
        <w:rPr>
          <w:i w:val="0"/>
          <w:iCs/>
          <w:sz w:val="18"/>
          <w:szCs w:val="18"/>
        </w:rPr>
        <w:t>Department of Industrial Engineering, University of Mulawarman</w:t>
      </w:r>
    </w:p>
    <w:p w14:paraId="7936E8D4" w14:textId="017A7F36" w:rsidR="00320A46" w:rsidRPr="00D919C5" w:rsidRDefault="00320A46" w:rsidP="00320A46">
      <w:pPr>
        <w:pStyle w:val="AuthorAffiliation"/>
        <w:rPr>
          <w:i w:val="0"/>
          <w:iCs/>
          <w:sz w:val="18"/>
          <w:szCs w:val="18"/>
        </w:rPr>
      </w:pPr>
      <w:proofErr w:type="spellStart"/>
      <w:r w:rsidRPr="00D919C5">
        <w:rPr>
          <w:i w:val="0"/>
          <w:iCs/>
          <w:sz w:val="18"/>
          <w:szCs w:val="18"/>
        </w:rPr>
        <w:t>Kampus</w:t>
      </w:r>
      <w:proofErr w:type="spellEnd"/>
      <w:r w:rsidRPr="00D919C5">
        <w:rPr>
          <w:i w:val="0"/>
          <w:iCs/>
          <w:sz w:val="18"/>
          <w:szCs w:val="18"/>
        </w:rPr>
        <w:t xml:space="preserve"> </w:t>
      </w:r>
      <w:proofErr w:type="spellStart"/>
      <w:r w:rsidRPr="00D919C5">
        <w:rPr>
          <w:i w:val="0"/>
          <w:iCs/>
          <w:sz w:val="18"/>
          <w:szCs w:val="18"/>
        </w:rPr>
        <w:t>Gunung</w:t>
      </w:r>
      <w:proofErr w:type="spellEnd"/>
      <w:r w:rsidRPr="00D919C5">
        <w:rPr>
          <w:i w:val="0"/>
          <w:iCs/>
          <w:sz w:val="18"/>
          <w:szCs w:val="18"/>
        </w:rPr>
        <w:t xml:space="preserve"> </w:t>
      </w:r>
      <w:proofErr w:type="spellStart"/>
      <w:r w:rsidRPr="00D919C5">
        <w:rPr>
          <w:i w:val="0"/>
          <w:iCs/>
          <w:sz w:val="18"/>
          <w:szCs w:val="18"/>
        </w:rPr>
        <w:t>Kelua</w:t>
      </w:r>
      <w:proofErr w:type="spellEnd"/>
      <w:r w:rsidRPr="00D919C5">
        <w:rPr>
          <w:i w:val="0"/>
          <w:iCs/>
          <w:sz w:val="18"/>
          <w:szCs w:val="18"/>
        </w:rPr>
        <w:t xml:space="preserve">, </w:t>
      </w:r>
      <w:proofErr w:type="spellStart"/>
      <w:r w:rsidRPr="00D919C5">
        <w:rPr>
          <w:i w:val="0"/>
          <w:iCs/>
          <w:sz w:val="18"/>
          <w:szCs w:val="18"/>
        </w:rPr>
        <w:t>Samarinda</w:t>
      </w:r>
      <w:proofErr w:type="spellEnd"/>
      <w:r w:rsidRPr="00D919C5">
        <w:rPr>
          <w:i w:val="0"/>
          <w:iCs/>
          <w:sz w:val="18"/>
          <w:szCs w:val="18"/>
        </w:rPr>
        <w:t>, Indonesia</w:t>
      </w:r>
    </w:p>
    <w:p w14:paraId="16309564" w14:textId="2107F1E5" w:rsidR="00320A46" w:rsidRPr="00D919C5" w:rsidRDefault="00000000" w:rsidP="00320A46">
      <w:pPr>
        <w:pStyle w:val="AuthorAffiliation"/>
        <w:rPr>
          <w:i w:val="0"/>
          <w:iCs/>
          <w:sz w:val="18"/>
          <w:szCs w:val="18"/>
        </w:rPr>
      </w:pPr>
      <w:hyperlink r:id="rId5" w:history="1">
        <w:r w:rsidR="00320A46" w:rsidRPr="00D919C5">
          <w:rPr>
            <w:rStyle w:val="Hyperlink"/>
            <w:i w:val="0"/>
            <w:iCs/>
            <w:sz w:val="18"/>
            <w:szCs w:val="18"/>
          </w:rPr>
          <w:t>mayestikayuniii@gmail.com</w:t>
        </w:r>
      </w:hyperlink>
      <w:r w:rsidR="00320A46" w:rsidRPr="00D919C5">
        <w:rPr>
          <w:i w:val="0"/>
          <w:iCs/>
          <w:sz w:val="18"/>
          <w:szCs w:val="18"/>
        </w:rPr>
        <w:t xml:space="preserve">, </w:t>
      </w:r>
      <w:hyperlink r:id="rId6" w:history="1">
        <w:r w:rsidR="00320A46" w:rsidRPr="00D919C5">
          <w:rPr>
            <w:rStyle w:val="Hyperlink"/>
            <w:i w:val="0"/>
            <w:iCs/>
            <w:sz w:val="18"/>
            <w:szCs w:val="18"/>
          </w:rPr>
          <w:t>linadianatif@ft.unmul.ac.id</w:t>
        </w:r>
      </w:hyperlink>
      <w:r w:rsidR="00320A46" w:rsidRPr="00D919C5">
        <w:rPr>
          <w:i w:val="0"/>
          <w:iCs/>
          <w:sz w:val="18"/>
          <w:szCs w:val="18"/>
        </w:rPr>
        <w:t xml:space="preserve">, </w:t>
      </w:r>
      <w:hyperlink r:id="rId7" w:history="1">
        <w:r w:rsidR="00320A46" w:rsidRPr="00D919C5">
          <w:rPr>
            <w:rStyle w:val="Hyperlink"/>
            <w:i w:val="0"/>
            <w:iCs/>
            <w:sz w:val="18"/>
            <w:szCs w:val="18"/>
          </w:rPr>
          <w:t>triciapawitra@gmail.com</w:t>
        </w:r>
      </w:hyperlink>
    </w:p>
    <w:p w14:paraId="423E7C42" w14:textId="48D79A0F" w:rsidR="00320A46" w:rsidRPr="00D919C5" w:rsidRDefault="00320A46" w:rsidP="00320A46">
      <w:pPr>
        <w:pStyle w:val="AuthorAffiliation"/>
        <w:rPr>
          <w:i w:val="0"/>
          <w:iCs/>
          <w:sz w:val="18"/>
          <w:szCs w:val="18"/>
        </w:rPr>
      </w:pPr>
    </w:p>
    <w:p w14:paraId="123E1050" w14:textId="3184C2A7" w:rsidR="00320A46" w:rsidRPr="00D919C5" w:rsidRDefault="00320A46" w:rsidP="00320A46">
      <w:pPr>
        <w:pStyle w:val="AuthorAffiliation"/>
        <w:rPr>
          <w:i w:val="0"/>
          <w:iCs/>
          <w:sz w:val="18"/>
          <w:szCs w:val="18"/>
        </w:rPr>
      </w:pPr>
    </w:p>
    <w:p w14:paraId="25838CD6" w14:textId="7256621E" w:rsidR="00320A46" w:rsidRPr="00D919C5" w:rsidRDefault="00320A46" w:rsidP="00320A46">
      <w:pPr>
        <w:pStyle w:val="AuthorAffiliation"/>
        <w:jc w:val="left"/>
        <w:rPr>
          <w:i w:val="0"/>
          <w:iCs/>
          <w:sz w:val="18"/>
          <w:szCs w:val="18"/>
        </w:rPr>
      </w:pPr>
      <w:r w:rsidRPr="00D919C5">
        <w:rPr>
          <w:i w:val="0"/>
          <w:iCs/>
          <w:sz w:val="18"/>
          <w:szCs w:val="18"/>
        </w:rPr>
        <w:t>ABSTRACT</w:t>
      </w:r>
    </w:p>
    <w:p w14:paraId="76FF06AA" w14:textId="79AD4F7F" w:rsidR="00320A46" w:rsidRPr="00D919C5" w:rsidRDefault="00320A46" w:rsidP="00320A46">
      <w:pPr>
        <w:pStyle w:val="AuthorAffiliation"/>
        <w:jc w:val="left"/>
        <w:rPr>
          <w:i w:val="0"/>
          <w:iCs/>
          <w:sz w:val="18"/>
          <w:szCs w:val="18"/>
        </w:rPr>
      </w:pPr>
    </w:p>
    <w:p w14:paraId="08CFBC2B" w14:textId="22FD3791" w:rsidR="001F4B8F" w:rsidRPr="00D919C5" w:rsidRDefault="00BA6BBD" w:rsidP="00BA6BBD">
      <w:pPr>
        <w:pStyle w:val="AuthorAffiliation"/>
        <w:jc w:val="both"/>
        <w:rPr>
          <w:i w:val="0"/>
          <w:iCs/>
          <w:sz w:val="18"/>
          <w:szCs w:val="18"/>
        </w:rPr>
      </w:pPr>
      <w:r w:rsidRPr="00D919C5">
        <w:rPr>
          <w:rFonts w:eastAsiaTheme="minorHAnsi"/>
          <w:i w:val="0"/>
          <w:lang w:val="en-ID"/>
        </w:rPr>
        <w:t xml:space="preserve">Oil and Gas Company X has the most extensive exploration unit in Indonesia, which has several exploration fields. Operational activities in this company are highly dependent on several positions, such as operators and technicians. Due to the operation area (field) being far from Balikpapan City, the company provides special transportation facilities for going and returning employees on duty in the operating area. So that the role of drivers is crucial in the continuity of business processes in this company, either directly or indirectly, drivers are required to have high concentration and mentality in making decisions quickly and accurately. In addition, monotonous driver activity when road conditions are smooth can cause driver burnout to increase. This study aims to </w:t>
      </w:r>
      <w:proofErr w:type="spellStart"/>
      <w:r w:rsidRPr="00D919C5">
        <w:rPr>
          <w:rFonts w:eastAsiaTheme="minorHAnsi"/>
          <w:i w:val="0"/>
          <w:lang w:val="en-ID"/>
        </w:rPr>
        <w:t>analyze</w:t>
      </w:r>
      <w:proofErr w:type="spellEnd"/>
      <w:r w:rsidRPr="00D919C5">
        <w:rPr>
          <w:rFonts w:eastAsiaTheme="minorHAnsi"/>
          <w:i w:val="0"/>
          <w:lang w:val="en-ID"/>
        </w:rPr>
        <w:t xml:space="preserve"> the effect of mental Workload on the level of driver burnout and provide suggestions for improvement to reduce the level of mental Workload and driver burnout. Measurement of mental Workload using the NASA-TLX method while for the level of burnout using the MBI method. Based on the study's results, it is known that the average mental Workload of drivers is 69.</w:t>
      </w:r>
      <w:r w:rsidR="00FC4545" w:rsidRPr="00D919C5">
        <w:rPr>
          <w:rFonts w:eastAsiaTheme="minorHAnsi"/>
          <w:i w:val="0"/>
          <w:lang w:val="en-ID"/>
        </w:rPr>
        <w:t>1</w:t>
      </w:r>
      <w:r w:rsidRPr="00D919C5">
        <w:rPr>
          <w:rFonts w:eastAsiaTheme="minorHAnsi"/>
          <w:i w:val="0"/>
          <w:lang w:val="en-ID"/>
        </w:rPr>
        <w:t xml:space="preserve"> in the high category, and the average operator burnout level is 1</w:t>
      </w:r>
      <w:r w:rsidR="00FC4545" w:rsidRPr="00D919C5">
        <w:rPr>
          <w:rFonts w:eastAsiaTheme="minorHAnsi"/>
          <w:i w:val="0"/>
          <w:lang w:val="en-ID"/>
        </w:rPr>
        <w:t>4.44</w:t>
      </w:r>
      <w:r w:rsidRPr="00D919C5">
        <w:rPr>
          <w:rFonts w:eastAsiaTheme="minorHAnsi"/>
          <w:i w:val="0"/>
          <w:lang w:val="en-ID"/>
        </w:rPr>
        <w:t xml:space="preserve"> in the low category. Based on the analysis, the regression equation Y = </w:t>
      </w:r>
      <w:r w:rsidR="00FC4545" w:rsidRPr="00D919C5">
        <w:rPr>
          <w:rFonts w:eastAsiaTheme="minorHAnsi"/>
          <w:i w:val="0"/>
          <w:lang w:val="en-ID"/>
        </w:rPr>
        <w:t>-1.635</w:t>
      </w:r>
      <w:r w:rsidRPr="00D919C5">
        <w:rPr>
          <w:rFonts w:eastAsiaTheme="minorHAnsi"/>
          <w:i w:val="0"/>
          <w:lang w:val="en-ID"/>
        </w:rPr>
        <w:t>+0.</w:t>
      </w:r>
      <w:r w:rsidR="00FC4545" w:rsidRPr="00D919C5">
        <w:rPr>
          <w:rFonts w:eastAsiaTheme="minorHAnsi"/>
          <w:i w:val="0"/>
          <w:lang w:val="en-ID"/>
        </w:rPr>
        <w:t>2</w:t>
      </w:r>
      <w:r w:rsidRPr="00D919C5">
        <w:rPr>
          <w:rFonts w:eastAsiaTheme="minorHAnsi"/>
          <w:i w:val="0"/>
          <w:lang w:val="en-ID"/>
        </w:rPr>
        <w:t>33X with a correlation value of 0.</w:t>
      </w:r>
      <w:r w:rsidR="00FC4545" w:rsidRPr="00D919C5">
        <w:rPr>
          <w:rFonts w:eastAsiaTheme="minorHAnsi"/>
          <w:i w:val="0"/>
          <w:lang w:val="en-ID"/>
        </w:rPr>
        <w:t>380</w:t>
      </w:r>
      <w:r w:rsidRPr="00D919C5">
        <w:rPr>
          <w:rFonts w:eastAsiaTheme="minorHAnsi"/>
          <w:i w:val="0"/>
          <w:lang w:val="en-ID"/>
        </w:rPr>
        <w:t xml:space="preserve"> means that the correlation is relatively low. So suggestions can be given in the form of providing supporting facilities and infrastructure, job rotation, and conducting or holding stimulating activities.</w:t>
      </w:r>
    </w:p>
    <w:p w14:paraId="34DBFC64" w14:textId="09CFD343" w:rsidR="001F4B8F" w:rsidRPr="00D919C5" w:rsidRDefault="00320A46" w:rsidP="001F4B8F">
      <w:pPr>
        <w:pStyle w:val="AuthorAffiliation"/>
        <w:jc w:val="left"/>
        <w:rPr>
          <w:i w:val="0"/>
          <w:iCs/>
          <w:sz w:val="18"/>
          <w:szCs w:val="18"/>
        </w:rPr>
      </w:pPr>
      <w:r w:rsidRPr="00D919C5">
        <w:rPr>
          <w:i w:val="0"/>
          <w:iCs/>
          <w:sz w:val="18"/>
          <w:szCs w:val="18"/>
        </w:rPr>
        <w:t>KEY WORDS</w:t>
      </w:r>
      <w:r w:rsidR="001F4B8F" w:rsidRPr="00D919C5">
        <w:rPr>
          <w:i w:val="0"/>
          <w:iCs/>
          <w:sz w:val="18"/>
          <w:szCs w:val="18"/>
        </w:rPr>
        <w:t xml:space="preserve">: </w:t>
      </w:r>
      <w:r w:rsidR="001F4B8F" w:rsidRPr="00D919C5">
        <w:rPr>
          <w:i w:val="0"/>
          <w:iCs/>
          <w:color w:val="000000"/>
        </w:rPr>
        <w:t xml:space="preserve">NASA-TLX; MBI; Driver; Mental Workload; </w:t>
      </w:r>
      <w:r w:rsidR="00E05CA0" w:rsidRPr="00D919C5">
        <w:rPr>
          <w:i w:val="0"/>
          <w:iCs/>
          <w:color w:val="000000"/>
        </w:rPr>
        <w:t>Burnout</w:t>
      </w:r>
      <w:r w:rsidR="001F4B8F" w:rsidRPr="00D919C5">
        <w:rPr>
          <w:i w:val="0"/>
          <w:iCs/>
          <w:color w:val="000000"/>
        </w:rPr>
        <w:t>; Regression; Correlation</w:t>
      </w:r>
    </w:p>
    <w:p w14:paraId="13615792" w14:textId="77777777" w:rsidR="001F4B8F" w:rsidRPr="00D919C5" w:rsidRDefault="001F4B8F" w:rsidP="00320A46">
      <w:pPr>
        <w:pStyle w:val="AuthorAffiliation"/>
        <w:jc w:val="left"/>
        <w:rPr>
          <w:i w:val="0"/>
          <w:iCs/>
          <w:sz w:val="18"/>
          <w:szCs w:val="18"/>
        </w:rPr>
      </w:pPr>
    </w:p>
    <w:p w14:paraId="05BD72CF" w14:textId="04F1E9D5" w:rsidR="00320A46" w:rsidRPr="00D919C5" w:rsidRDefault="00320A46" w:rsidP="00320A46">
      <w:pPr>
        <w:pStyle w:val="AuthorAffiliation"/>
        <w:jc w:val="left"/>
        <w:rPr>
          <w:i w:val="0"/>
          <w:iCs/>
          <w:sz w:val="18"/>
          <w:szCs w:val="18"/>
        </w:rPr>
      </w:pPr>
      <w:r w:rsidRPr="00D919C5">
        <w:rPr>
          <w:i w:val="0"/>
          <w:iCs/>
          <w:sz w:val="18"/>
          <w:szCs w:val="18"/>
        </w:rPr>
        <w:t>INTRODUCTION</w:t>
      </w:r>
    </w:p>
    <w:p w14:paraId="27FE264F" w14:textId="77777777" w:rsidR="001F4B8F" w:rsidRPr="00D919C5" w:rsidRDefault="001F4B8F" w:rsidP="00320A46">
      <w:pPr>
        <w:pStyle w:val="AuthorAffiliation"/>
        <w:jc w:val="left"/>
        <w:rPr>
          <w:i w:val="0"/>
          <w:iCs/>
          <w:sz w:val="18"/>
          <w:szCs w:val="18"/>
        </w:rPr>
        <w:sectPr w:rsidR="001F4B8F" w:rsidRPr="00D919C5" w:rsidSect="00867D91">
          <w:pgSz w:w="12240" w:h="15840"/>
          <w:pgMar w:top="737" w:right="680" w:bottom="737" w:left="680" w:header="709" w:footer="709" w:gutter="0"/>
          <w:cols w:space="708"/>
          <w:docGrid w:linePitch="360"/>
        </w:sectPr>
      </w:pPr>
    </w:p>
    <w:p w14:paraId="4FA44893" w14:textId="1BCFB243" w:rsidR="001F4B8F" w:rsidRPr="00D919C5" w:rsidRDefault="001F4B8F" w:rsidP="00320A46">
      <w:pPr>
        <w:pStyle w:val="AuthorAffiliation"/>
        <w:jc w:val="left"/>
        <w:rPr>
          <w:i w:val="0"/>
          <w:iCs/>
          <w:sz w:val="18"/>
          <w:szCs w:val="18"/>
        </w:rPr>
      </w:pPr>
    </w:p>
    <w:p w14:paraId="3666386F" w14:textId="7416C245" w:rsidR="00BA6BBD" w:rsidRPr="00D919C5" w:rsidRDefault="00BA6BBD" w:rsidP="00BA6BBD">
      <w:pPr>
        <w:jc w:val="both"/>
        <w:rPr>
          <w:color w:val="0E101A"/>
          <w:sz w:val="20"/>
          <w:szCs w:val="20"/>
        </w:rPr>
      </w:pPr>
      <w:r w:rsidRPr="00D919C5">
        <w:rPr>
          <w:color w:val="0E101A"/>
          <w:sz w:val="20"/>
          <w:szCs w:val="20"/>
        </w:rPr>
        <w:t>Driver burnout is a well-known contributor to potentially fatal car accidents. Williamson et al. (2011) emphasize that burnout has several components, with symptoms including mental, physical, and muscular burnout, which they claim, are the most critical aspects of burnout in a driving context. In addition, burnout can be determined by physiological and psychological factors, which can lead to changes in other harmful states, such as stress (Matthews &amp; Desmond, 1998).</w:t>
      </w:r>
    </w:p>
    <w:p w14:paraId="0A8FCBED" w14:textId="77777777" w:rsidR="00BA6BBD" w:rsidRPr="00D919C5" w:rsidRDefault="00BA6BBD" w:rsidP="00BA6BBD">
      <w:pPr>
        <w:jc w:val="both"/>
        <w:rPr>
          <w:color w:val="0E101A"/>
          <w:sz w:val="20"/>
          <w:szCs w:val="20"/>
        </w:rPr>
      </w:pPr>
    </w:p>
    <w:p w14:paraId="498EEF28" w14:textId="0AEA90D5" w:rsidR="00BA6BBD" w:rsidRPr="00D919C5" w:rsidRDefault="00BA6BBD" w:rsidP="00BA6BBD">
      <w:pPr>
        <w:jc w:val="both"/>
        <w:rPr>
          <w:color w:val="0E101A"/>
          <w:sz w:val="20"/>
          <w:szCs w:val="20"/>
        </w:rPr>
      </w:pPr>
      <w:r w:rsidRPr="00D919C5">
        <w:rPr>
          <w:color w:val="0E101A"/>
          <w:sz w:val="20"/>
          <w:szCs w:val="20"/>
        </w:rPr>
        <w:t xml:space="preserve">The </w:t>
      </w:r>
      <w:r w:rsidR="00576D08" w:rsidRPr="00D919C5">
        <w:rPr>
          <w:color w:val="0E101A"/>
          <w:sz w:val="20"/>
          <w:szCs w:val="20"/>
        </w:rPr>
        <w:t>w</w:t>
      </w:r>
      <w:r w:rsidRPr="00D919C5">
        <w:rPr>
          <w:color w:val="0E101A"/>
          <w:sz w:val="20"/>
          <w:szCs w:val="20"/>
        </w:rPr>
        <w:t>orkload experienced by a worker can be in the form of a physical burden, a mental/psychological burden, or a social/moral burden arising from the work environment. Mental Workload is a person's assessment of the attentional load (between his motivational capacity and the demands of the given task) when someone does a reasonably good job in a motivated condition. Mental Workload is related to mental needs and the availability of human brain resources (Hancock, 1988).</w:t>
      </w:r>
    </w:p>
    <w:p w14:paraId="0B79A3E2" w14:textId="77777777" w:rsidR="00BA6BBD" w:rsidRPr="00D919C5" w:rsidRDefault="00BA6BBD" w:rsidP="00BA6BBD">
      <w:pPr>
        <w:jc w:val="both"/>
        <w:rPr>
          <w:color w:val="0E101A"/>
          <w:sz w:val="20"/>
          <w:szCs w:val="20"/>
        </w:rPr>
      </w:pPr>
    </w:p>
    <w:p w14:paraId="5490BA1D" w14:textId="77777777" w:rsidR="00BA6BBD" w:rsidRPr="00D919C5" w:rsidRDefault="00BA6BBD" w:rsidP="00BA6BBD">
      <w:pPr>
        <w:jc w:val="both"/>
        <w:rPr>
          <w:color w:val="0E101A"/>
          <w:sz w:val="20"/>
          <w:szCs w:val="20"/>
        </w:rPr>
      </w:pPr>
      <w:r w:rsidRPr="00D919C5">
        <w:rPr>
          <w:color w:val="0E101A"/>
          <w:sz w:val="20"/>
          <w:szCs w:val="20"/>
        </w:rPr>
        <w:t xml:space="preserve">Oil and Gas Companies X has the most extensive exploration unit in Indonesia, which has several exploration fields. The fields are spread over several areas, such as </w:t>
      </w:r>
      <w:proofErr w:type="spellStart"/>
      <w:r w:rsidRPr="00D919C5">
        <w:rPr>
          <w:color w:val="0E101A"/>
          <w:sz w:val="20"/>
          <w:szCs w:val="20"/>
        </w:rPr>
        <w:t>Samboja</w:t>
      </w:r>
      <w:proofErr w:type="spellEnd"/>
      <w:r w:rsidRPr="00D919C5">
        <w:rPr>
          <w:color w:val="0E101A"/>
          <w:sz w:val="20"/>
          <w:szCs w:val="20"/>
        </w:rPr>
        <w:t xml:space="preserve">, Sanga – Sanga, </w:t>
      </w:r>
      <w:proofErr w:type="spellStart"/>
      <w:r w:rsidRPr="00D919C5">
        <w:rPr>
          <w:color w:val="0E101A"/>
          <w:sz w:val="20"/>
          <w:szCs w:val="20"/>
        </w:rPr>
        <w:t>Handil</w:t>
      </w:r>
      <w:proofErr w:type="spellEnd"/>
      <w:r w:rsidRPr="00D919C5">
        <w:rPr>
          <w:color w:val="0E101A"/>
          <w:sz w:val="20"/>
          <w:szCs w:val="20"/>
        </w:rPr>
        <w:t xml:space="preserve">, and </w:t>
      </w:r>
      <w:proofErr w:type="spellStart"/>
      <w:r w:rsidRPr="00D919C5">
        <w:rPr>
          <w:color w:val="0E101A"/>
          <w:sz w:val="20"/>
          <w:szCs w:val="20"/>
        </w:rPr>
        <w:t>Tani</w:t>
      </w:r>
      <w:proofErr w:type="spellEnd"/>
      <w:r w:rsidRPr="00D919C5">
        <w:rPr>
          <w:color w:val="0E101A"/>
          <w:sz w:val="20"/>
          <w:szCs w:val="20"/>
        </w:rPr>
        <w:t xml:space="preserve"> </w:t>
      </w:r>
      <w:proofErr w:type="spellStart"/>
      <w:r w:rsidRPr="00D919C5">
        <w:rPr>
          <w:color w:val="0E101A"/>
          <w:sz w:val="20"/>
          <w:szCs w:val="20"/>
        </w:rPr>
        <w:t>Baru</w:t>
      </w:r>
      <w:proofErr w:type="spellEnd"/>
      <w:r w:rsidRPr="00D919C5">
        <w:rPr>
          <w:color w:val="0E101A"/>
          <w:sz w:val="20"/>
          <w:szCs w:val="20"/>
        </w:rPr>
        <w:t>. Operational activities in this company are highly dependent on several positions, such as operators and technicians. Due to the operational area (field) being far from Balikpapan City, the company provides special transportation facilities for going and returning employees who work in the functional area. So that the Driver's role is crucial in the continuity of the business processes in this company, either directly or indirectly. For example, an operator position that should be on duty for 3 weeks will be hampered by its departure schedule (because there are drivers who experience problems), besides the Driver is also responsible for the safety of some personnel in the vehicle.</w:t>
      </w:r>
    </w:p>
    <w:p w14:paraId="4F40E066" w14:textId="77777777" w:rsidR="00BA6BBD" w:rsidRPr="00D919C5" w:rsidRDefault="00BA6BBD" w:rsidP="00BA6BBD">
      <w:pPr>
        <w:jc w:val="both"/>
        <w:rPr>
          <w:color w:val="0E101A"/>
          <w:sz w:val="20"/>
          <w:szCs w:val="20"/>
        </w:rPr>
      </w:pPr>
    </w:p>
    <w:p w14:paraId="06ED782F" w14:textId="77777777" w:rsidR="00BA6BBD" w:rsidRPr="00D919C5" w:rsidRDefault="00BA6BBD" w:rsidP="00BA6BBD">
      <w:pPr>
        <w:jc w:val="both"/>
        <w:rPr>
          <w:color w:val="0E101A"/>
          <w:sz w:val="20"/>
          <w:szCs w:val="20"/>
        </w:rPr>
      </w:pPr>
      <w:r w:rsidRPr="00D919C5">
        <w:rPr>
          <w:color w:val="0E101A"/>
          <w:sz w:val="20"/>
          <w:szCs w:val="20"/>
        </w:rPr>
        <w:t xml:space="preserve">With the physical and mental Workload received by the Driver and the Driver's burnout, it is crucial to know the level of burnout of the Driver so that it can be seen whether the Workload and mentality received are still reasonable or otherwise and to know </w:t>
      </w:r>
      <w:r w:rsidRPr="00D919C5">
        <w:rPr>
          <w:color w:val="0E101A"/>
          <w:sz w:val="20"/>
          <w:szCs w:val="20"/>
        </w:rPr>
        <w:t>the Driver's burnout so that the business activity process runs well. Drivers do not get overloaded with work and have good burnout. Therefore, the author will examine the effect of physical and mental Workload and burnout on the boredom experienced by drivers at Oil and Gas Companies X company. To measure mental Workload using the NASA Task Load Index (NASA – TLX) questionnaire method, and for burnout, researchers use Maslach Burnout Inventory (MBI) questionnaire method.</w:t>
      </w:r>
    </w:p>
    <w:p w14:paraId="5F284F5B" w14:textId="77777777" w:rsidR="00BA6BBD" w:rsidRPr="00D919C5" w:rsidRDefault="00BA6BBD" w:rsidP="00BA6BBD">
      <w:pPr>
        <w:jc w:val="both"/>
        <w:rPr>
          <w:color w:val="0E101A"/>
          <w:sz w:val="20"/>
          <w:szCs w:val="20"/>
        </w:rPr>
      </w:pPr>
    </w:p>
    <w:p w14:paraId="28793D50" w14:textId="77777777" w:rsidR="00BA6BBD" w:rsidRPr="00D919C5" w:rsidRDefault="00BA6BBD" w:rsidP="00BA6BBD">
      <w:pPr>
        <w:jc w:val="both"/>
        <w:rPr>
          <w:color w:val="0E101A"/>
          <w:sz w:val="20"/>
          <w:szCs w:val="20"/>
        </w:rPr>
      </w:pPr>
      <w:r w:rsidRPr="00D919C5">
        <w:rPr>
          <w:color w:val="0E101A"/>
          <w:sz w:val="20"/>
          <w:szCs w:val="20"/>
        </w:rPr>
        <w:t xml:space="preserve">Mental burnout is a psychobiological state caused by demanding cognitive activity over a long period and is characterized by a combination of subjective, </w:t>
      </w:r>
      <w:proofErr w:type="spellStart"/>
      <w:r w:rsidRPr="00D919C5">
        <w:rPr>
          <w:color w:val="0E101A"/>
          <w:sz w:val="20"/>
          <w:szCs w:val="20"/>
        </w:rPr>
        <w:t>behavioral</w:t>
      </w:r>
      <w:proofErr w:type="spellEnd"/>
      <w:r w:rsidRPr="00D919C5">
        <w:rPr>
          <w:color w:val="0E101A"/>
          <w:sz w:val="20"/>
          <w:szCs w:val="20"/>
        </w:rPr>
        <w:t>, and physiological manifestations (</w:t>
      </w:r>
      <w:proofErr w:type="spellStart"/>
      <w:r w:rsidRPr="00D919C5">
        <w:rPr>
          <w:color w:val="0E101A"/>
          <w:sz w:val="20"/>
          <w:szCs w:val="20"/>
        </w:rPr>
        <w:t>Cutsem</w:t>
      </w:r>
      <w:proofErr w:type="spellEnd"/>
      <w:r w:rsidRPr="00D919C5">
        <w:rPr>
          <w:color w:val="0E101A"/>
          <w:sz w:val="20"/>
          <w:szCs w:val="20"/>
        </w:rPr>
        <w:t xml:space="preserve"> et al., 2017; </w:t>
      </w:r>
      <w:proofErr w:type="spellStart"/>
      <w:r w:rsidRPr="00D919C5">
        <w:rPr>
          <w:color w:val="0E101A"/>
          <w:sz w:val="20"/>
          <w:szCs w:val="20"/>
        </w:rPr>
        <w:t>Pageaux</w:t>
      </w:r>
      <w:proofErr w:type="spellEnd"/>
      <w:r w:rsidRPr="00D919C5">
        <w:rPr>
          <w:color w:val="0E101A"/>
          <w:sz w:val="20"/>
          <w:szCs w:val="20"/>
        </w:rPr>
        <w:t xml:space="preserve"> and Lepers, 2018). Subjectively, mental burnout manifests as increased feelings of tiredness and lack of energy. </w:t>
      </w:r>
      <w:proofErr w:type="spellStart"/>
      <w:r w:rsidRPr="00D919C5">
        <w:rPr>
          <w:color w:val="0E101A"/>
          <w:sz w:val="20"/>
          <w:szCs w:val="20"/>
        </w:rPr>
        <w:t>Behaviorally</w:t>
      </w:r>
      <w:proofErr w:type="spellEnd"/>
      <w:r w:rsidRPr="00D919C5">
        <w:rPr>
          <w:color w:val="0E101A"/>
          <w:sz w:val="20"/>
          <w:szCs w:val="20"/>
        </w:rPr>
        <w:t>, mental burnout manifests as a decrease in performance in terms of accuracy and reaction time on cognitive tasks. Physiologically, mental burnout manifests as changes in brain activity. To form mental burnout, the three manifestations do not have to exist because someone can compensate for these manifestations (</w:t>
      </w:r>
      <w:proofErr w:type="spellStart"/>
      <w:r w:rsidRPr="00D919C5">
        <w:rPr>
          <w:color w:val="0E101A"/>
          <w:sz w:val="20"/>
          <w:szCs w:val="20"/>
        </w:rPr>
        <w:t>Cutsem</w:t>
      </w:r>
      <w:proofErr w:type="spellEnd"/>
      <w:r w:rsidRPr="00D919C5">
        <w:rPr>
          <w:color w:val="0E101A"/>
          <w:sz w:val="20"/>
          <w:szCs w:val="20"/>
        </w:rPr>
        <w:t xml:space="preserve"> et al., 2017). The effects of mental burnout are slower reaction times, loss of attention and alertness, impaired judgment and decision-making, and loss of motivation (Murray &amp; </w:t>
      </w:r>
      <w:proofErr w:type="spellStart"/>
      <w:r w:rsidRPr="00D919C5">
        <w:rPr>
          <w:color w:val="0E101A"/>
          <w:sz w:val="20"/>
          <w:szCs w:val="20"/>
        </w:rPr>
        <w:t>Thimgan</w:t>
      </w:r>
      <w:proofErr w:type="spellEnd"/>
      <w:r w:rsidRPr="00D919C5">
        <w:rPr>
          <w:color w:val="0E101A"/>
          <w:sz w:val="20"/>
          <w:szCs w:val="20"/>
        </w:rPr>
        <w:t>, 2016).</w:t>
      </w:r>
    </w:p>
    <w:p w14:paraId="4E31E514" w14:textId="77777777" w:rsidR="00BA6BBD" w:rsidRPr="00D919C5" w:rsidRDefault="00BA6BBD" w:rsidP="00BA6BBD">
      <w:pPr>
        <w:jc w:val="both"/>
        <w:rPr>
          <w:color w:val="0E101A"/>
          <w:sz w:val="20"/>
          <w:szCs w:val="20"/>
        </w:rPr>
      </w:pPr>
    </w:p>
    <w:p w14:paraId="6B2E00E3" w14:textId="66087C13" w:rsidR="00BA6BBD" w:rsidRPr="00D919C5" w:rsidRDefault="00BA6BBD" w:rsidP="00BA6BBD">
      <w:pPr>
        <w:jc w:val="both"/>
        <w:rPr>
          <w:color w:val="0E101A"/>
          <w:sz w:val="20"/>
          <w:szCs w:val="20"/>
        </w:rPr>
      </w:pPr>
      <w:r w:rsidRPr="00D919C5">
        <w:rPr>
          <w:color w:val="0E101A"/>
          <w:sz w:val="20"/>
          <w:szCs w:val="20"/>
        </w:rPr>
        <w:t xml:space="preserve">According to Bennet (2000), an independent variable was the variable that stimulated the results or the result of the dependent variable. The Workload was the independent variable, and job burnout was the dependent variable in this investigation. According to </w:t>
      </w:r>
      <w:proofErr w:type="spellStart"/>
      <w:r w:rsidRPr="00D919C5">
        <w:rPr>
          <w:color w:val="0E101A"/>
          <w:sz w:val="20"/>
          <w:szCs w:val="20"/>
        </w:rPr>
        <w:t>Nikulin</w:t>
      </w:r>
      <w:proofErr w:type="spellEnd"/>
      <w:r w:rsidRPr="00D919C5">
        <w:rPr>
          <w:color w:val="0E101A"/>
          <w:sz w:val="20"/>
          <w:szCs w:val="20"/>
        </w:rPr>
        <w:t xml:space="preserve"> et al. (2019), there were six dimensions to be displayed in the overall Workload (OW).</w:t>
      </w:r>
    </w:p>
    <w:p w14:paraId="5EE4EF63" w14:textId="77777777" w:rsidR="00BA6BBD" w:rsidRPr="00D919C5" w:rsidRDefault="00BA6BBD" w:rsidP="00BA6BBD">
      <w:pPr>
        <w:jc w:val="both"/>
        <w:rPr>
          <w:color w:val="0E101A"/>
          <w:sz w:val="20"/>
          <w:szCs w:val="20"/>
        </w:rPr>
      </w:pPr>
    </w:p>
    <w:p w14:paraId="0FC08A9A" w14:textId="77777777" w:rsidR="00BA6BBD" w:rsidRPr="00D919C5" w:rsidRDefault="00BA6BBD" w:rsidP="00BA6BBD">
      <w:pPr>
        <w:jc w:val="both"/>
        <w:rPr>
          <w:color w:val="0E101A"/>
          <w:sz w:val="20"/>
          <w:szCs w:val="20"/>
        </w:rPr>
      </w:pPr>
      <w:r w:rsidRPr="00D919C5">
        <w:rPr>
          <w:color w:val="0E101A"/>
          <w:sz w:val="20"/>
          <w:szCs w:val="20"/>
        </w:rPr>
        <w:t xml:space="preserve">Job burnout can have some harmful effects on the organization because they will feel fatigued when they are overworked in their job position. They will also feel dissatisfaction among their co-workers when they cannot meet the expectations of their current job demands. Then it will bring the worker toward emotional exhaustion, depersonalization, and personal </w:t>
      </w:r>
      <w:proofErr w:type="spellStart"/>
      <w:r w:rsidRPr="00D919C5">
        <w:rPr>
          <w:color w:val="0E101A"/>
          <w:sz w:val="20"/>
          <w:szCs w:val="20"/>
        </w:rPr>
        <w:t>fulfillment</w:t>
      </w:r>
      <w:proofErr w:type="spellEnd"/>
      <w:r w:rsidRPr="00D919C5">
        <w:rPr>
          <w:color w:val="0E101A"/>
          <w:sz w:val="20"/>
          <w:szCs w:val="20"/>
        </w:rPr>
        <w:t xml:space="preserve"> (Maslach, 2005).</w:t>
      </w:r>
    </w:p>
    <w:p w14:paraId="6891DD0E" w14:textId="77777777" w:rsidR="00BA6BBD" w:rsidRPr="00D919C5" w:rsidRDefault="00BA6BBD" w:rsidP="00BA6BBD">
      <w:pPr>
        <w:jc w:val="both"/>
        <w:rPr>
          <w:color w:val="0E101A"/>
          <w:sz w:val="20"/>
          <w:szCs w:val="20"/>
        </w:rPr>
      </w:pPr>
    </w:p>
    <w:p w14:paraId="3EDA5B3F" w14:textId="719EC21F" w:rsidR="00BA6BBD" w:rsidRPr="00D919C5" w:rsidRDefault="00BA6BBD" w:rsidP="00BA6BBD">
      <w:pPr>
        <w:jc w:val="both"/>
        <w:rPr>
          <w:color w:val="0E101A"/>
          <w:sz w:val="20"/>
          <w:szCs w:val="20"/>
        </w:rPr>
      </w:pPr>
      <w:r w:rsidRPr="00D919C5">
        <w:rPr>
          <w:color w:val="0E101A"/>
          <w:sz w:val="20"/>
          <w:szCs w:val="20"/>
        </w:rPr>
        <w:lastRenderedPageBreak/>
        <w:t>Maslach et al. (2005), on the other hand, explained that burnout occurs when a person suffers prolonged exposure to stressful stimuli such as job demands and complexity, with a lack of adequate emotional care provided by the employer and undertaken by the employee, which subsequently leads to emotional emergence.</w:t>
      </w:r>
    </w:p>
    <w:p w14:paraId="59EB4EB6" w14:textId="77777777" w:rsidR="00BA6BBD" w:rsidRPr="00D919C5" w:rsidRDefault="00BA6BBD" w:rsidP="00BA6BBD">
      <w:pPr>
        <w:jc w:val="both"/>
        <w:rPr>
          <w:color w:val="0E101A"/>
          <w:sz w:val="20"/>
          <w:szCs w:val="20"/>
        </w:rPr>
      </w:pPr>
    </w:p>
    <w:p w14:paraId="33377941" w14:textId="77777777" w:rsidR="00BA6BBD" w:rsidRPr="00D919C5" w:rsidRDefault="00BA6BBD" w:rsidP="00BA6BBD">
      <w:pPr>
        <w:jc w:val="both"/>
        <w:rPr>
          <w:color w:val="0E101A"/>
          <w:sz w:val="20"/>
          <w:szCs w:val="20"/>
        </w:rPr>
      </w:pPr>
      <w:r w:rsidRPr="00D919C5">
        <w:rPr>
          <w:color w:val="0E101A"/>
          <w:sz w:val="20"/>
          <w:szCs w:val="20"/>
        </w:rPr>
        <w:t>Emotional exhaustion soon increases and later forms another symptom of detached feelings towards work and creates a sense of depersonalization towards the work systems, the people involved in the workplace, and the organization itself with a negative outlook, prejudices, and other views not complementary to the whole. Organizational structure ultimately leads the employee to encounter problems in achieving particular objectives (Maslach et al., 2005). Thus, it will reduce personal performance at work, so this was a stage where the individual or employee would very quickly experience a decrease in personal achievement, where the sense of interest or the sense of pleasure in performing any task at work does not would still be touched because tasks and duties were performed only to supplement work demands in a combative emotional state, thus causing burnout (Maslach et al., 2005).</w:t>
      </w:r>
    </w:p>
    <w:p w14:paraId="723383FC" w14:textId="77777777" w:rsidR="00BA6BBD" w:rsidRPr="00D919C5" w:rsidRDefault="00BA6BBD" w:rsidP="00BA6BBD">
      <w:pPr>
        <w:jc w:val="both"/>
        <w:rPr>
          <w:color w:val="0E101A"/>
          <w:sz w:val="20"/>
          <w:szCs w:val="20"/>
        </w:rPr>
      </w:pPr>
    </w:p>
    <w:p w14:paraId="6B3AF42B" w14:textId="12A43B27" w:rsidR="00BA6BBD" w:rsidRPr="00D919C5" w:rsidRDefault="00BA6BBD" w:rsidP="00EB7E84">
      <w:pPr>
        <w:jc w:val="both"/>
        <w:rPr>
          <w:color w:val="0E101A"/>
          <w:sz w:val="20"/>
          <w:szCs w:val="20"/>
        </w:rPr>
      </w:pPr>
      <w:r w:rsidRPr="00D919C5">
        <w:rPr>
          <w:color w:val="0E101A"/>
          <w:sz w:val="20"/>
          <w:szCs w:val="20"/>
        </w:rPr>
        <w:t>Over the past decades, several studies have been conducted to determine the relationship between job stress and burnout. Baker et al. (2005) focused on job stress as one of the main factors affecting job burnout. According to Wu et al. (2018), job burnout affects the daily life of a professional, increases time and costs, reduces employee satisfaction, and ultimately leads to job burnout.</w:t>
      </w:r>
      <w:r w:rsidR="00587C8F" w:rsidRPr="00D919C5">
        <w:rPr>
          <w:color w:val="0E101A"/>
          <w:sz w:val="20"/>
          <w:szCs w:val="20"/>
        </w:rPr>
        <w:t xml:space="preserve"> </w:t>
      </w:r>
      <w:r w:rsidRPr="00D919C5">
        <w:rPr>
          <w:color w:val="0E101A"/>
          <w:sz w:val="20"/>
          <w:szCs w:val="20"/>
        </w:rPr>
        <w:t xml:space="preserve">According to Hart and </w:t>
      </w:r>
      <w:proofErr w:type="spellStart"/>
      <w:r w:rsidRPr="00D919C5">
        <w:rPr>
          <w:color w:val="0E101A"/>
          <w:sz w:val="20"/>
          <w:szCs w:val="20"/>
        </w:rPr>
        <w:t>Staveland</w:t>
      </w:r>
      <w:proofErr w:type="spellEnd"/>
      <w:r w:rsidRPr="00D919C5">
        <w:rPr>
          <w:color w:val="0E101A"/>
          <w:sz w:val="20"/>
          <w:szCs w:val="20"/>
        </w:rPr>
        <w:t xml:space="preserve"> (1988), work can be divided into six categories: mental demand, physical demand, physical demand, productivity, energy, and frustration, so this study uses Hart and </w:t>
      </w:r>
      <w:proofErr w:type="spellStart"/>
      <w:r w:rsidRPr="00D919C5">
        <w:rPr>
          <w:color w:val="0E101A"/>
          <w:sz w:val="20"/>
          <w:szCs w:val="20"/>
        </w:rPr>
        <w:t>Staveland</w:t>
      </w:r>
      <w:proofErr w:type="spellEnd"/>
      <w:r w:rsidRPr="00D919C5">
        <w:rPr>
          <w:color w:val="0E101A"/>
          <w:sz w:val="20"/>
          <w:szCs w:val="20"/>
        </w:rPr>
        <w:t xml:space="preserve"> (1988) work sources to determine respondents' work responsibilities.</w:t>
      </w:r>
      <w:r w:rsidR="00EB7E84" w:rsidRPr="00D919C5">
        <w:rPr>
          <w:color w:val="0E101A"/>
          <w:sz w:val="20"/>
          <w:szCs w:val="20"/>
        </w:rPr>
        <w:t xml:space="preserve"> </w:t>
      </w:r>
      <w:r w:rsidR="00EB7E84" w:rsidRPr="00D919C5">
        <w:rPr>
          <w:sz w:val="20"/>
          <w:szCs w:val="20"/>
        </w:rPr>
        <w:t xml:space="preserve">The aim of the present study was to investigate the relationship between </w:t>
      </w:r>
      <w:r w:rsidR="00CE5915" w:rsidRPr="00D919C5">
        <w:rPr>
          <w:sz w:val="20"/>
          <w:szCs w:val="20"/>
        </w:rPr>
        <w:t>mental workload</w:t>
      </w:r>
      <w:r w:rsidRPr="00D919C5">
        <w:rPr>
          <w:sz w:val="20"/>
          <w:szCs w:val="20"/>
        </w:rPr>
        <w:t xml:space="preserve"> </w:t>
      </w:r>
      <w:r w:rsidR="00EB7E84" w:rsidRPr="00D919C5">
        <w:rPr>
          <w:sz w:val="20"/>
          <w:szCs w:val="20"/>
        </w:rPr>
        <w:t xml:space="preserve">and </w:t>
      </w:r>
      <w:r w:rsidR="00CE5915" w:rsidRPr="00D919C5">
        <w:rPr>
          <w:sz w:val="20"/>
          <w:szCs w:val="20"/>
        </w:rPr>
        <w:t>b</w:t>
      </w:r>
      <w:r w:rsidRPr="00D919C5">
        <w:rPr>
          <w:sz w:val="20"/>
          <w:szCs w:val="20"/>
        </w:rPr>
        <w:t>urnout</w:t>
      </w:r>
      <w:r w:rsidR="00EB7E84" w:rsidRPr="00D919C5">
        <w:rPr>
          <w:sz w:val="20"/>
          <w:szCs w:val="20"/>
        </w:rPr>
        <w:t xml:space="preserve"> among drivers in Oil and Gas Companies X.</w:t>
      </w:r>
    </w:p>
    <w:p w14:paraId="4FB6057D" w14:textId="77777777" w:rsidR="00BA6BBD" w:rsidRPr="00D919C5" w:rsidRDefault="00BA6BBD" w:rsidP="00BA6BBD">
      <w:pPr>
        <w:jc w:val="both"/>
        <w:rPr>
          <w:color w:val="0E101A"/>
          <w:sz w:val="20"/>
          <w:szCs w:val="20"/>
        </w:rPr>
      </w:pPr>
    </w:p>
    <w:p w14:paraId="14FD6D98" w14:textId="77777777" w:rsidR="00BA6BBD" w:rsidRPr="00D919C5" w:rsidRDefault="00BA6BBD" w:rsidP="00BA6BBD">
      <w:pPr>
        <w:jc w:val="both"/>
        <w:rPr>
          <w:color w:val="0E101A"/>
          <w:sz w:val="20"/>
          <w:szCs w:val="20"/>
        </w:rPr>
      </w:pPr>
      <w:r w:rsidRPr="00D919C5">
        <w:rPr>
          <w:color w:val="0E101A"/>
          <w:sz w:val="20"/>
          <w:szCs w:val="20"/>
        </w:rPr>
        <w:t>METHODS</w:t>
      </w:r>
    </w:p>
    <w:p w14:paraId="59622A3F" w14:textId="77777777" w:rsidR="00BA6BBD" w:rsidRPr="00D919C5" w:rsidRDefault="00BA6BBD" w:rsidP="00BA6BBD">
      <w:pPr>
        <w:jc w:val="both"/>
        <w:rPr>
          <w:color w:val="0E101A"/>
          <w:sz w:val="20"/>
          <w:szCs w:val="20"/>
        </w:rPr>
      </w:pPr>
    </w:p>
    <w:p w14:paraId="28EAFB1C" w14:textId="2947B2F4" w:rsidR="00BA6BBD" w:rsidRPr="00D919C5" w:rsidRDefault="00BA6BBD" w:rsidP="00BA6BBD">
      <w:pPr>
        <w:jc w:val="both"/>
        <w:rPr>
          <w:color w:val="0E101A"/>
          <w:sz w:val="20"/>
          <w:szCs w:val="20"/>
        </w:rPr>
      </w:pPr>
      <w:r w:rsidRPr="00D919C5">
        <w:rPr>
          <w:color w:val="0E101A"/>
          <w:sz w:val="20"/>
          <w:szCs w:val="20"/>
        </w:rPr>
        <w:t xml:space="preserve">This study used quantitative research to collect quantitative data from the respondents. In addition, a descriptive study was conducted to determine the level of </w:t>
      </w:r>
      <w:r w:rsidR="00531A94" w:rsidRPr="00D919C5">
        <w:rPr>
          <w:color w:val="0E101A"/>
          <w:sz w:val="20"/>
          <w:szCs w:val="20"/>
        </w:rPr>
        <w:t>w</w:t>
      </w:r>
      <w:r w:rsidRPr="00D919C5">
        <w:rPr>
          <w:color w:val="0E101A"/>
          <w:sz w:val="20"/>
          <w:szCs w:val="20"/>
        </w:rPr>
        <w:t>orkload and the level of job burnout.</w:t>
      </w:r>
      <w:r w:rsidR="00587C8F" w:rsidRPr="00D919C5">
        <w:rPr>
          <w:color w:val="0E101A"/>
          <w:sz w:val="20"/>
          <w:szCs w:val="20"/>
        </w:rPr>
        <w:t xml:space="preserve"> </w:t>
      </w:r>
      <w:r w:rsidRPr="00D919C5">
        <w:rPr>
          <w:color w:val="0E101A"/>
          <w:sz w:val="20"/>
          <w:szCs w:val="20"/>
        </w:rPr>
        <w:t xml:space="preserve">Meanwhile, social research examines the relationship between two or more variables within the same group of people. In this study, correlation research was conducted to investigate the strength and direction of the relationship between the independent (Workload) variables and the dependent (job burnout) variables of the </w:t>
      </w:r>
      <w:r w:rsidR="00531A94" w:rsidRPr="00D919C5">
        <w:rPr>
          <w:color w:val="0E101A"/>
          <w:sz w:val="20"/>
          <w:szCs w:val="20"/>
        </w:rPr>
        <w:t>d</w:t>
      </w:r>
      <w:r w:rsidRPr="00D919C5">
        <w:rPr>
          <w:color w:val="0E101A"/>
          <w:sz w:val="20"/>
          <w:szCs w:val="20"/>
        </w:rPr>
        <w:t>river.</w:t>
      </w:r>
    </w:p>
    <w:p w14:paraId="59B03B16" w14:textId="77777777" w:rsidR="00BA6BBD" w:rsidRPr="00D919C5" w:rsidRDefault="00BA6BBD" w:rsidP="00BA6BBD">
      <w:pPr>
        <w:jc w:val="both"/>
        <w:rPr>
          <w:color w:val="0E101A"/>
          <w:sz w:val="20"/>
          <w:szCs w:val="20"/>
        </w:rPr>
      </w:pPr>
    </w:p>
    <w:p w14:paraId="4A1C357E" w14:textId="77777777" w:rsidR="00CA25E6" w:rsidRPr="00D919C5" w:rsidRDefault="00BA6BBD" w:rsidP="00144CD9">
      <w:pPr>
        <w:contextualSpacing/>
        <w:jc w:val="both"/>
        <w:rPr>
          <w:sz w:val="20"/>
          <w:szCs w:val="20"/>
        </w:rPr>
      </w:pPr>
      <w:r w:rsidRPr="00D919C5">
        <w:rPr>
          <w:sz w:val="20"/>
          <w:szCs w:val="20"/>
        </w:rPr>
        <w:t xml:space="preserve">The instrument used in the study was adapted from instruments corresponding to known variables. Questionnaires used to assess performance were the NASA-TLX developed by Hart and </w:t>
      </w:r>
      <w:proofErr w:type="spellStart"/>
      <w:r w:rsidRPr="00D919C5">
        <w:rPr>
          <w:sz w:val="20"/>
          <w:szCs w:val="20"/>
        </w:rPr>
        <w:t>Staveland</w:t>
      </w:r>
      <w:proofErr w:type="spellEnd"/>
      <w:r w:rsidRPr="00D919C5">
        <w:rPr>
          <w:sz w:val="20"/>
          <w:szCs w:val="20"/>
        </w:rPr>
        <w:t xml:space="preserve"> (1988) and the Work Retention Scale developed by Maslach (1981). </w:t>
      </w:r>
      <w:r w:rsidR="007320C4" w:rsidRPr="00D919C5">
        <w:rPr>
          <w:sz w:val="20"/>
          <w:szCs w:val="20"/>
        </w:rPr>
        <w:t xml:space="preserve">NASA-TLX was used to store mental workload data. The NASA-TLX has six dimensions related to workload, three of which relate to the demands placed on individuals during work (mental demands, physical demands, and time demands) and the remaining three to job outcomes (performance, motivation, and frustration). </w:t>
      </w:r>
      <w:r w:rsidR="006D31C6" w:rsidRPr="00D919C5">
        <w:rPr>
          <w:sz w:val="20"/>
          <w:szCs w:val="20"/>
        </w:rPr>
        <w:t xml:space="preserve">The assessment is achieved by requesting the respondents to rate mental, physical, and temporal demands imposed by the completion of the task, as well as the level of frustration they experienced, number of performance </w:t>
      </w:r>
      <w:r w:rsidR="006D31C6" w:rsidRPr="00D919C5">
        <w:rPr>
          <w:sz w:val="20"/>
          <w:szCs w:val="20"/>
        </w:rPr>
        <w:t xml:space="preserve">concerns they had, and overall effort required to complete the task. Mental and physical demands determine the level of intellectual/perceptual and physical work required for completion of a task, respectively. The temporal demand provide the measure for time pressure during the completion of the task. The effort component assesses mental and physical work required to perform at a certain proficiency level. The frustration component evaluates the level of stress associated with completion of the task. The start and end points for the scales used to quantify each of these five components are low and high, respectively. The sixth component, performance, was developed to assess the degree of the trainee's satisfaction on completion of the task. The endpoints for the performance component are good and poor. </w:t>
      </w:r>
      <w:r w:rsidR="007320C4" w:rsidRPr="00D919C5">
        <w:rPr>
          <w:sz w:val="20"/>
          <w:szCs w:val="20"/>
        </w:rPr>
        <w:t>The performance dimension is scaled between perfect and fail, but the other dimensions are scaled from very low to very high.</w:t>
      </w:r>
    </w:p>
    <w:p w14:paraId="3858145B" w14:textId="77777777" w:rsidR="00CA25E6" w:rsidRPr="00D919C5" w:rsidRDefault="00CA25E6" w:rsidP="00144CD9">
      <w:pPr>
        <w:contextualSpacing/>
        <w:jc w:val="both"/>
        <w:rPr>
          <w:sz w:val="20"/>
          <w:szCs w:val="20"/>
        </w:rPr>
      </w:pPr>
    </w:p>
    <w:p w14:paraId="77961196" w14:textId="66EB5A90" w:rsidR="007320C4" w:rsidRPr="00D919C5" w:rsidRDefault="007320C4" w:rsidP="00144CD9">
      <w:pPr>
        <w:contextualSpacing/>
        <w:jc w:val="both"/>
        <w:rPr>
          <w:sz w:val="20"/>
          <w:szCs w:val="20"/>
        </w:rPr>
      </w:pPr>
      <w:r w:rsidRPr="00D919C5">
        <w:rPr>
          <w:sz w:val="20"/>
          <w:szCs w:val="20"/>
        </w:rPr>
        <w:t xml:space="preserve">In the first part of the NASA TLX, participants are asked to rate each dimension on a 0–100 scale at five-point intervals. In the second block, the dimensions are compared in a binary comparison and each dimension is selected as more important and effective than the other (according to participants) in the experienced mental workload. The mental workload is calculated. </w:t>
      </w:r>
      <w:r w:rsidR="00144CD9" w:rsidRPr="00D919C5">
        <w:rPr>
          <w:sz w:val="20"/>
          <w:szCs w:val="20"/>
        </w:rPr>
        <w:t>The score interpretation based on calculated WWL are low (0-9)</w:t>
      </w:r>
      <w:r w:rsidR="00D65AAE" w:rsidRPr="00D919C5">
        <w:rPr>
          <w:sz w:val="20"/>
          <w:szCs w:val="20"/>
        </w:rPr>
        <w:t>, m</w:t>
      </w:r>
      <w:r w:rsidR="00144CD9" w:rsidRPr="00D919C5">
        <w:rPr>
          <w:sz w:val="20"/>
          <w:szCs w:val="20"/>
        </w:rPr>
        <w:t>edium (10-29)</w:t>
      </w:r>
      <w:r w:rsidR="00D65AAE" w:rsidRPr="00D919C5">
        <w:rPr>
          <w:sz w:val="20"/>
          <w:szCs w:val="20"/>
        </w:rPr>
        <w:t>, r</w:t>
      </w:r>
      <w:r w:rsidR="00144CD9" w:rsidRPr="00D919C5">
        <w:rPr>
          <w:sz w:val="20"/>
          <w:szCs w:val="20"/>
        </w:rPr>
        <w:t>ather high (30- 49)</w:t>
      </w:r>
      <w:r w:rsidR="00D65AAE" w:rsidRPr="00D919C5">
        <w:rPr>
          <w:sz w:val="20"/>
          <w:szCs w:val="20"/>
        </w:rPr>
        <w:t>, h</w:t>
      </w:r>
      <w:r w:rsidR="00144CD9" w:rsidRPr="00D919C5">
        <w:rPr>
          <w:sz w:val="20"/>
          <w:szCs w:val="20"/>
        </w:rPr>
        <w:t>igh (50-79)</w:t>
      </w:r>
      <w:r w:rsidR="00D65AAE" w:rsidRPr="00D919C5">
        <w:rPr>
          <w:sz w:val="20"/>
          <w:szCs w:val="20"/>
        </w:rPr>
        <w:t xml:space="preserve">, </w:t>
      </w:r>
      <w:r w:rsidR="00144CD9" w:rsidRPr="00D919C5">
        <w:rPr>
          <w:sz w:val="20"/>
          <w:szCs w:val="20"/>
        </w:rPr>
        <w:t>very high (80-100).</w:t>
      </w:r>
      <w:r w:rsidRPr="00D919C5">
        <w:rPr>
          <w:sz w:val="20"/>
          <w:szCs w:val="20"/>
        </w:rPr>
        <w:t xml:space="preserve"> Considering the validity and reliability of the NASA TLX used, </w:t>
      </w:r>
      <w:proofErr w:type="spellStart"/>
      <w:r w:rsidRPr="00D919C5">
        <w:rPr>
          <w:sz w:val="20"/>
          <w:szCs w:val="20"/>
        </w:rPr>
        <w:t>Mazloumi</w:t>
      </w:r>
      <w:proofErr w:type="spellEnd"/>
      <w:r w:rsidRPr="00D919C5">
        <w:rPr>
          <w:sz w:val="20"/>
          <w:szCs w:val="20"/>
        </w:rPr>
        <w:t xml:space="preserve"> et al. where Cronbach's alpha was 0.897.</w:t>
      </w:r>
    </w:p>
    <w:p w14:paraId="179E7F66" w14:textId="77777777" w:rsidR="007320C4" w:rsidRPr="00D919C5" w:rsidRDefault="007320C4" w:rsidP="00BA6BBD">
      <w:pPr>
        <w:jc w:val="both"/>
        <w:rPr>
          <w:color w:val="0E101A"/>
          <w:sz w:val="20"/>
          <w:szCs w:val="20"/>
        </w:rPr>
      </w:pPr>
    </w:p>
    <w:p w14:paraId="58D793A2" w14:textId="3346E2E9" w:rsidR="00BA6BBD" w:rsidRPr="00D919C5" w:rsidRDefault="00BA6BBD" w:rsidP="00CA25E6">
      <w:pPr>
        <w:contextualSpacing/>
        <w:jc w:val="both"/>
        <w:rPr>
          <w:sz w:val="20"/>
          <w:szCs w:val="20"/>
        </w:rPr>
      </w:pPr>
      <w:r w:rsidRPr="00D919C5">
        <w:rPr>
          <w:sz w:val="20"/>
          <w:szCs w:val="20"/>
        </w:rPr>
        <w:t>The MB</w:t>
      </w:r>
      <w:r w:rsidR="00587C8F" w:rsidRPr="00D919C5">
        <w:rPr>
          <w:sz w:val="20"/>
          <w:szCs w:val="20"/>
        </w:rPr>
        <w:t>I</w:t>
      </w:r>
      <w:r w:rsidRPr="00D919C5">
        <w:rPr>
          <w:sz w:val="20"/>
          <w:szCs w:val="20"/>
        </w:rPr>
        <w:t xml:space="preserve"> is a 22-item instrument used to assess burnout in healthcare professionals. The MBI measures three dimensions of burnout: emotional exhaustion (emotionally exhausted, nine items), depersonalization (cynicism, five items), and personal satisfaction ("intelligence," eight items) and uses a Likert scale from 0 (never) to 6 (every day). </w:t>
      </w:r>
      <w:r w:rsidR="00CA25E6" w:rsidRPr="00D919C5">
        <w:rPr>
          <w:sz w:val="20"/>
          <w:szCs w:val="20"/>
        </w:rPr>
        <w:t xml:space="preserve">Scales are scored such that higher scores indicate more of each construct. Higher scores on the EE and DP subscales indicate a higher burnout symptom burden, lower scores on the PA subscale indicate a higher burnout symptom burden. </w:t>
      </w:r>
      <w:r w:rsidRPr="00D919C5">
        <w:rPr>
          <w:sz w:val="20"/>
          <w:szCs w:val="20"/>
        </w:rPr>
        <w:t>Their range is 0-45, 0-25, and 0-40, respectively. High scores on anxiety (&gt;27) and depersonalization (&gt;13), and self-satisfaction (&lt;31) indicate burnout. The reliability and validity of the MBI and its subscales are well established. The reliability of the MBI in the present study was 0.71 (all scales) (Maslach, 1996).</w:t>
      </w:r>
    </w:p>
    <w:p w14:paraId="6147831E" w14:textId="77777777" w:rsidR="00BA6BBD" w:rsidRPr="00D919C5" w:rsidRDefault="00BA6BBD" w:rsidP="00BA6BBD">
      <w:pPr>
        <w:jc w:val="both"/>
        <w:rPr>
          <w:color w:val="0E101A"/>
          <w:sz w:val="20"/>
          <w:szCs w:val="20"/>
        </w:rPr>
      </w:pPr>
    </w:p>
    <w:p w14:paraId="0F7E0ADD" w14:textId="4372E04C" w:rsidR="00BA6BBD" w:rsidRPr="00D919C5" w:rsidRDefault="00BA6BBD" w:rsidP="00BA6BBD">
      <w:pPr>
        <w:jc w:val="both"/>
        <w:rPr>
          <w:color w:val="0E101A"/>
          <w:sz w:val="20"/>
          <w:szCs w:val="20"/>
        </w:rPr>
      </w:pPr>
      <w:r w:rsidRPr="00D919C5">
        <w:rPr>
          <w:color w:val="0E101A"/>
          <w:sz w:val="20"/>
          <w:szCs w:val="20"/>
        </w:rPr>
        <w:t xml:space="preserve">The collected data were </w:t>
      </w:r>
      <w:proofErr w:type="spellStart"/>
      <w:r w:rsidRPr="00D919C5">
        <w:rPr>
          <w:color w:val="0E101A"/>
          <w:sz w:val="20"/>
          <w:szCs w:val="20"/>
        </w:rPr>
        <w:t>analyzed</w:t>
      </w:r>
      <w:proofErr w:type="spellEnd"/>
      <w:r w:rsidRPr="00D919C5">
        <w:rPr>
          <w:color w:val="0E101A"/>
          <w:sz w:val="20"/>
          <w:szCs w:val="20"/>
        </w:rPr>
        <w:t xml:space="preserve"> using SPSS software version 23. Descriptive and analytical statistical tests, such as </w:t>
      </w:r>
      <w:r w:rsidR="00FC4545" w:rsidRPr="00D919C5">
        <w:rPr>
          <w:color w:val="0E101A"/>
          <w:sz w:val="20"/>
          <w:szCs w:val="20"/>
        </w:rPr>
        <w:t>two</w:t>
      </w:r>
      <w:r w:rsidRPr="00D919C5">
        <w:rPr>
          <w:color w:val="0E101A"/>
          <w:sz w:val="20"/>
          <w:szCs w:val="20"/>
        </w:rPr>
        <w:t>-way ANOVA, paired t-test, independent t-test, chi-square, Pearson correlation coefficient, and significant level p ≤ 0.05, were prepared to examine the effect of different variables.</w:t>
      </w:r>
    </w:p>
    <w:p w14:paraId="0F5E249D" w14:textId="77777777" w:rsidR="006D31C6" w:rsidRPr="00D919C5" w:rsidRDefault="006D31C6" w:rsidP="00BA6BBD">
      <w:pPr>
        <w:jc w:val="both"/>
        <w:rPr>
          <w:color w:val="FF0000"/>
          <w:sz w:val="20"/>
          <w:szCs w:val="20"/>
        </w:rPr>
      </w:pPr>
    </w:p>
    <w:p w14:paraId="78490DAF" w14:textId="47BF4245" w:rsidR="00BA6BBD" w:rsidRPr="00D919C5" w:rsidRDefault="00BA6BBD" w:rsidP="00BA6BBD">
      <w:pPr>
        <w:jc w:val="both"/>
        <w:rPr>
          <w:color w:val="0E101A"/>
          <w:sz w:val="20"/>
          <w:szCs w:val="20"/>
        </w:rPr>
      </w:pPr>
      <w:r w:rsidRPr="00D919C5">
        <w:rPr>
          <w:color w:val="0E101A"/>
          <w:sz w:val="20"/>
          <w:szCs w:val="20"/>
        </w:rPr>
        <w:t>RESULTS</w:t>
      </w:r>
    </w:p>
    <w:p w14:paraId="259EFBC5" w14:textId="77777777" w:rsidR="00BA6BBD" w:rsidRPr="00D919C5" w:rsidRDefault="00BA6BBD" w:rsidP="00BA6BBD">
      <w:pPr>
        <w:jc w:val="both"/>
        <w:rPr>
          <w:color w:val="0E101A"/>
          <w:sz w:val="20"/>
          <w:szCs w:val="20"/>
        </w:rPr>
      </w:pPr>
    </w:p>
    <w:p w14:paraId="000D8893" w14:textId="7C61FE27" w:rsidR="00BA6BBD" w:rsidRPr="00D919C5" w:rsidRDefault="00BA6BBD" w:rsidP="00BA6BBD">
      <w:pPr>
        <w:pStyle w:val="NormalWeb"/>
        <w:spacing w:before="0" w:beforeAutospacing="0" w:after="0" w:afterAutospacing="0"/>
        <w:contextualSpacing/>
        <w:jc w:val="both"/>
        <w:rPr>
          <w:sz w:val="20"/>
          <w:szCs w:val="20"/>
        </w:rPr>
      </w:pPr>
      <w:r w:rsidRPr="00D919C5">
        <w:rPr>
          <w:sz w:val="20"/>
          <w:szCs w:val="20"/>
        </w:rPr>
        <w:t>Based on research respondents in this study</w:t>
      </w:r>
      <w:r w:rsidR="006D31C6" w:rsidRPr="00D919C5">
        <w:rPr>
          <w:sz w:val="20"/>
          <w:szCs w:val="20"/>
        </w:rPr>
        <w:t xml:space="preserve">, population of the driver were male. </w:t>
      </w:r>
      <w:r w:rsidRPr="00D919C5">
        <w:rPr>
          <w:sz w:val="20"/>
          <w:szCs w:val="20"/>
        </w:rPr>
        <w:t xml:space="preserve">The results found that some respondents are </w:t>
      </w:r>
      <w:r w:rsidR="00FC4545" w:rsidRPr="00D919C5">
        <w:rPr>
          <w:sz w:val="20"/>
          <w:szCs w:val="20"/>
        </w:rPr>
        <w:t>30</w:t>
      </w:r>
      <w:r w:rsidRPr="00D919C5">
        <w:rPr>
          <w:sz w:val="20"/>
          <w:szCs w:val="20"/>
        </w:rPr>
        <w:t>-</w:t>
      </w:r>
      <w:r w:rsidR="00FC4545" w:rsidRPr="00D919C5">
        <w:rPr>
          <w:sz w:val="20"/>
          <w:szCs w:val="20"/>
        </w:rPr>
        <w:t>34</w:t>
      </w:r>
      <w:r w:rsidRPr="00D919C5">
        <w:rPr>
          <w:sz w:val="20"/>
          <w:szCs w:val="20"/>
        </w:rPr>
        <w:t xml:space="preserve"> years old (</w:t>
      </w:r>
      <w:r w:rsidR="00FC4545" w:rsidRPr="00D919C5">
        <w:rPr>
          <w:sz w:val="20"/>
          <w:szCs w:val="20"/>
        </w:rPr>
        <w:t>16.6</w:t>
      </w:r>
      <w:r w:rsidRPr="00D919C5">
        <w:rPr>
          <w:sz w:val="20"/>
          <w:szCs w:val="20"/>
        </w:rPr>
        <w:t>%). Some of them are 3</w:t>
      </w:r>
      <w:r w:rsidR="00FC4545" w:rsidRPr="00D919C5">
        <w:rPr>
          <w:sz w:val="20"/>
          <w:szCs w:val="20"/>
        </w:rPr>
        <w:t>5</w:t>
      </w:r>
      <w:r w:rsidRPr="00D919C5">
        <w:rPr>
          <w:sz w:val="20"/>
          <w:szCs w:val="20"/>
        </w:rPr>
        <w:t>-3</w:t>
      </w:r>
      <w:r w:rsidR="00FC4545" w:rsidRPr="00D919C5">
        <w:rPr>
          <w:sz w:val="20"/>
          <w:szCs w:val="20"/>
        </w:rPr>
        <w:t>9</w:t>
      </w:r>
      <w:r w:rsidRPr="00D919C5">
        <w:rPr>
          <w:sz w:val="20"/>
          <w:szCs w:val="20"/>
        </w:rPr>
        <w:t xml:space="preserve"> years</w:t>
      </w:r>
      <w:r w:rsidR="00FC4545" w:rsidRPr="00D919C5">
        <w:rPr>
          <w:sz w:val="20"/>
          <w:szCs w:val="20"/>
        </w:rPr>
        <w:t>, 40-44</w:t>
      </w:r>
      <w:r w:rsidRPr="00D919C5">
        <w:rPr>
          <w:sz w:val="20"/>
          <w:szCs w:val="20"/>
        </w:rPr>
        <w:t xml:space="preserve"> years</w:t>
      </w:r>
      <w:r w:rsidR="00FC4545" w:rsidRPr="00D919C5">
        <w:rPr>
          <w:sz w:val="20"/>
          <w:szCs w:val="20"/>
        </w:rPr>
        <w:t>, 45-49 years, 50-54 years</w:t>
      </w:r>
      <w:r w:rsidRPr="00D919C5">
        <w:rPr>
          <w:sz w:val="20"/>
          <w:szCs w:val="20"/>
        </w:rPr>
        <w:t xml:space="preserve"> each with a percentage of </w:t>
      </w:r>
      <w:r w:rsidR="00F00A2E" w:rsidRPr="00D919C5">
        <w:rPr>
          <w:sz w:val="20"/>
          <w:szCs w:val="20"/>
        </w:rPr>
        <w:t>11.1</w:t>
      </w:r>
      <w:r w:rsidRPr="00D919C5">
        <w:rPr>
          <w:sz w:val="20"/>
          <w:szCs w:val="20"/>
        </w:rPr>
        <w:t>%</w:t>
      </w:r>
      <w:r w:rsidR="00F00A2E" w:rsidRPr="00D919C5">
        <w:rPr>
          <w:sz w:val="20"/>
          <w:szCs w:val="20"/>
        </w:rPr>
        <w:t>, 22.2%, 33.3% and 16.6%</w:t>
      </w:r>
      <w:r w:rsidRPr="00D919C5">
        <w:rPr>
          <w:sz w:val="20"/>
          <w:szCs w:val="20"/>
        </w:rPr>
        <w:t>.</w:t>
      </w:r>
    </w:p>
    <w:p w14:paraId="5058EC31" w14:textId="7E69E10C" w:rsidR="008A4F7D" w:rsidRPr="00D919C5" w:rsidRDefault="008A4F7D" w:rsidP="00BA6BBD">
      <w:pPr>
        <w:pStyle w:val="NormalWeb"/>
        <w:spacing w:before="0" w:beforeAutospacing="0" w:after="0" w:afterAutospacing="0"/>
        <w:contextualSpacing/>
        <w:jc w:val="both"/>
        <w:rPr>
          <w:sz w:val="20"/>
          <w:szCs w:val="20"/>
        </w:rPr>
      </w:pPr>
    </w:p>
    <w:p w14:paraId="0AFD47D2" w14:textId="77777777" w:rsidR="00D919C5" w:rsidRDefault="008A4F7D" w:rsidP="008A4F7D">
      <w:pPr>
        <w:pStyle w:val="NormalWeb"/>
        <w:spacing w:before="0" w:beforeAutospacing="0" w:after="0" w:afterAutospacing="0"/>
        <w:contextualSpacing/>
        <w:jc w:val="both"/>
        <w:rPr>
          <w:rFonts w:ascii="TimesNewRomanPSMT" w:hAnsi="TimesNewRomanPSMT"/>
          <w:color w:val="000000" w:themeColor="text1"/>
          <w:sz w:val="20"/>
          <w:szCs w:val="20"/>
        </w:rPr>
      </w:pPr>
      <w:r w:rsidRPr="00D919C5">
        <w:rPr>
          <w:rFonts w:ascii="TimesNewRomanPSMT" w:hAnsi="TimesNewRomanPSMT"/>
          <w:color w:val="000000" w:themeColor="text1"/>
          <w:sz w:val="20"/>
          <w:szCs w:val="20"/>
        </w:rPr>
        <w:t xml:space="preserve">Table 1 illustrates the descriptive statistics on workload among the </w:t>
      </w:r>
      <w:r w:rsidR="00EF2B50" w:rsidRPr="00D919C5">
        <w:rPr>
          <w:rFonts w:ascii="TimesNewRomanPSMT" w:hAnsi="TimesNewRomanPSMT"/>
          <w:color w:val="000000" w:themeColor="text1"/>
          <w:sz w:val="20"/>
          <w:szCs w:val="20"/>
        </w:rPr>
        <w:t>driver</w:t>
      </w:r>
      <w:r w:rsidRPr="00D919C5">
        <w:rPr>
          <w:rFonts w:ascii="TimesNewRomanPSMT" w:hAnsi="TimesNewRomanPSMT"/>
          <w:color w:val="000000" w:themeColor="text1"/>
          <w:sz w:val="20"/>
          <w:szCs w:val="20"/>
        </w:rPr>
        <w:t xml:space="preserve"> with the </w:t>
      </w:r>
      <w:r w:rsidR="00CE5915" w:rsidRPr="00D919C5">
        <w:rPr>
          <w:rFonts w:ascii="TimesNewRomanPSMT" w:hAnsi="TimesNewRomanPSMT"/>
          <w:color w:val="000000" w:themeColor="text1"/>
          <w:sz w:val="20"/>
          <w:szCs w:val="20"/>
        </w:rPr>
        <w:t>total</w:t>
      </w:r>
      <w:r w:rsidRPr="00D919C5">
        <w:rPr>
          <w:rFonts w:ascii="TimesNewRomanPSMT" w:hAnsi="TimesNewRomanPSMT"/>
          <w:color w:val="000000" w:themeColor="text1"/>
          <w:sz w:val="20"/>
          <w:szCs w:val="20"/>
        </w:rPr>
        <w:t xml:space="preserve"> mean was </w:t>
      </w:r>
      <w:r w:rsidR="004A5C17" w:rsidRPr="00D919C5">
        <w:rPr>
          <w:rFonts w:ascii="TimesNewRomanPSMT" w:hAnsi="TimesNewRomanPSMT"/>
          <w:color w:val="000000" w:themeColor="text1"/>
          <w:sz w:val="20"/>
          <w:szCs w:val="20"/>
        </w:rPr>
        <w:t>69.1</w:t>
      </w:r>
      <w:r w:rsidRPr="00D919C5">
        <w:rPr>
          <w:rFonts w:ascii="TimesNewRomanPSMT" w:hAnsi="TimesNewRomanPSMT"/>
          <w:color w:val="000000" w:themeColor="text1"/>
          <w:sz w:val="20"/>
          <w:szCs w:val="20"/>
        </w:rPr>
        <w:t xml:space="preserve">. </w:t>
      </w:r>
      <w:r w:rsidR="000557C5" w:rsidRPr="00D919C5">
        <w:rPr>
          <w:rFonts w:ascii="TimesNewRomanPSMT" w:hAnsi="TimesNewRomanPSMT"/>
          <w:color w:val="000000" w:themeColor="text1"/>
          <w:sz w:val="20"/>
          <w:szCs w:val="20"/>
        </w:rPr>
        <w:t>The result showed that the driver's mental workload was high. Overall, the majority of the driver showed high levels of mental demand, physical demand, temporal demand, own performance and effort.</w:t>
      </w:r>
    </w:p>
    <w:p w14:paraId="2EC17198" w14:textId="19346B18" w:rsidR="004A5C17" w:rsidRPr="00D919C5" w:rsidRDefault="000557C5" w:rsidP="008A4F7D">
      <w:pPr>
        <w:pStyle w:val="NormalWeb"/>
        <w:spacing w:before="0" w:beforeAutospacing="0" w:after="0" w:afterAutospacing="0"/>
        <w:contextualSpacing/>
        <w:jc w:val="both"/>
        <w:rPr>
          <w:rFonts w:ascii="TimesNewRomanPSMT" w:hAnsi="TimesNewRomanPSMT"/>
          <w:color w:val="000000" w:themeColor="text1"/>
          <w:sz w:val="20"/>
          <w:szCs w:val="20"/>
        </w:rPr>
      </w:pPr>
      <w:r w:rsidRPr="00D919C5">
        <w:rPr>
          <w:rFonts w:ascii="TimesNewRomanPSMT" w:hAnsi="TimesNewRomanPSMT"/>
          <w:color w:val="000000" w:themeColor="text1"/>
          <w:sz w:val="20"/>
          <w:szCs w:val="20"/>
        </w:rPr>
        <w:lastRenderedPageBreak/>
        <w:t>There are high scores on all dimensions of mental workload, except for the frustration dimension. Drivers complain about unpredictable road conditions, and require drivers to think quickly to make decisions as the highest factor in mental workload. In the physical workload, drivers complain about some physical activities that must be carried out as part of the job, such as lifting goods to be put into the vehicle and washing the vehicle when finished. For temporal demand, drivers complain about deadlines to deliver passengers safely in the shortest possible time. The pressure to provide the best service for passengers is the highest-burden factor for driver performance, and drivers feel that if they do not provide the best service, passengers will give bad feedback. Because it takes much effort to provide the best passenger comfort and safety, effort is one of the highest-burden factors for drivers. Furthermore, the reason is that drivers do not have a high level of frustration in doing this work. Drivers say that they enjoy doing the work, and a good work environment is also one of the factors that the driver's frustration level is not too high.</w:t>
      </w:r>
    </w:p>
    <w:p w14:paraId="36B98317" w14:textId="77777777" w:rsidR="000557C5" w:rsidRPr="00D919C5" w:rsidRDefault="000557C5" w:rsidP="008A4F7D">
      <w:pPr>
        <w:pStyle w:val="NormalWeb"/>
        <w:spacing w:before="0" w:beforeAutospacing="0" w:after="0" w:afterAutospacing="0"/>
        <w:contextualSpacing/>
        <w:jc w:val="both"/>
        <w:rPr>
          <w:rFonts w:ascii="TimesNewRomanPSMT" w:hAnsi="TimesNewRomanPSMT"/>
          <w:color w:val="FF0000"/>
          <w:sz w:val="20"/>
          <w:szCs w:val="20"/>
        </w:rPr>
      </w:pPr>
    </w:p>
    <w:p w14:paraId="72F541FC" w14:textId="66A4F55A" w:rsidR="00576D08" w:rsidRPr="00D919C5" w:rsidRDefault="00576D08" w:rsidP="008A4F7D">
      <w:pPr>
        <w:pStyle w:val="NormalWeb"/>
        <w:spacing w:before="0" w:beforeAutospacing="0" w:after="0" w:afterAutospacing="0"/>
        <w:contextualSpacing/>
        <w:jc w:val="both"/>
        <w:rPr>
          <w:rFonts w:ascii="TimesNewRomanPSMT" w:hAnsi="TimesNewRomanPSMT"/>
          <w:sz w:val="20"/>
          <w:szCs w:val="20"/>
        </w:rPr>
      </w:pPr>
      <w:r w:rsidRPr="00D919C5">
        <w:rPr>
          <w:rFonts w:ascii="TimesNewRomanPSMT" w:hAnsi="TimesNewRomanPSMT"/>
          <w:sz w:val="20"/>
          <w:szCs w:val="20"/>
        </w:rPr>
        <w:t>Table 1.</w:t>
      </w:r>
      <w:r w:rsidR="00950CED" w:rsidRPr="00D919C5">
        <w:rPr>
          <w:rFonts w:ascii="TimesNewRomanPSMT" w:hAnsi="TimesNewRomanPSMT"/>
          <w:sz w:val="20"/>
          <w:szCs w:val="20"/>
        </w:rPr>
        <w:t xml:space="preserve"> Level of Workload</w:t>
      </w:r>
    </w:p>
    <w:tbl>
      <w:tblPr>
        <w:tblStyle w:val="TableGrid"/>
        <w:tblW w:w="0" w:type="auto"/>
        <w:tblLook w:val="04A0" w:firstRow="1" w:lastRow="0" w:firstColumn="1" w:lastColumn="0" w:noHBand="0" w:noVBand="1"/>
      </w:tblPr>
      <w:tblGrid>
        <w:gridCol w:w="2245"/>
        <w:gridCol w:w="1206"/>
        <w:gridCol w:w="1726"/>
      </w:tblGrid>
      <w:tr w:rsidR="004A5C17" w:rsidRPr="00D919C5" w14:paraId="522B5B45" w14:textId="77777777" w:rsidTr="00CE5915">
        <w:tc>
          <w:tcPr>
            <w:tcW w:w="2245" w:type="dxa"/>
          </w:tcPr>
          <w:p w14:paraId="377CEBDA" w14:textId="4F3C94E2"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Dimensions</w:t>
            </w:r>
          </w:p>
        </w:tc>
        <w:tc>
          <w:tcPr>
            <w:tcW w:w="1206" w:type="dxa"/>
          </w:tcPr>
          <w:p w14:paraId="4E70CC82" w14:textId="2C444BBC"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Mean</w:t>
            </w:r>
          </w:p>
        </w:tc>
        <w:tc>
          <w:tcPr>
            <w:tcW w:w="1726" w:type="dxa"/>
          </w:tcPr>
          <w:p w14:paraId="5862678C" w14:textId="74008EBE"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Level</w:t>
            </w:r>
          </w:p>
        </w:tc>
      </w:tr>
      <w:tr w:rsidR="004A5C17" w:rsidRPr="00D919C5" w14:paraId="3B59ECA0" w14:textId="77777777" w:rsidTr="00CE5915">
        <w:tc>
          <w:tcPr>
            <w:tcW w:w="2245" w:type="dxa"/>
          </w:tcPr>
          <w:p w14:paraId="6459581B" w14:textId="0CDBC730"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Mental Demand</w:t>
            </w:r>
            <w:r w:rsidR="00CE5915" w:rsidRPr="00D919C5">
              <w:rPr>
                <w:sz w:val="20"/>
                <w:szCs w:val="20"/>
              </w:rPr>
              <w:t xml:space="preserve"> (MD)</w:t>
            </w:r>
          </w:p>
        </w:tc>
        <w:tc>
          <w:tcPr>
            <w:tcW w:w="1206" w:type="dxa"/>
          </w:tcPr>
          <w:p w14:paraId="5295EF2E" w14:textId="74A48A78"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10.4</w:t>
            </w:r>
          </w:p>
        </w:tc>
        <w:tc>
          <w:tcPr>
            <w:tcW w:w="1726" w:type="dxa"/>
          </w:tcPr>
          <w:p w14:paraId="5D059CB6" w14:textId="7D3E7D7A"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r w:rsidR="004A5C17" w:rsidRPr="00D919C5" w14:paraId="70C23199" w14:textId="77777777" w:rsidTr="00CE5915">
        <w:tc>
          <w:tcPr>
            <w:tcW w:w="2245" w:type="dxa"/>
          </w:tcPr>
          <w:p w14:paraId="03D78F4B" w14:textId="22A27E8C"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Physical Demand</w:t>
            </w:r>
            <w:r w:rsidR="00CE5915" w:rsidRPr="00D919C5">
              <w:rPr>
                <w:sz w:val="20"/>
                <w:szCs w:val="20"/>
              </w:rPr>
              <w:t xml:space="preserve"> (PD)</w:t>
            </w:r>
          </w:p>
        </w:tc>
        <w:tc>
          <w:tcPr>
            <w:tcW w:w="1206" w:type="dxa"/>
          </w:tcPr>
          <w:p w14:paraId="7FA0E990" w14:textId="22DCF057"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11.9</w:t>
            </w:r>
          </w:p>
        </w:tc>
        <w:tc>
          <w:tcPr>
            <w:tcW w:w="1726" w:type="dxa"/>
          </w:tcPr>
          <w:p w14:paraId="5B2D37CA" w14:textId="5225E567"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r w:rsidR="004A5C17" w:rsidRPr="00D919C5" w14:paraId="738BF523" w14:textId="77777777" w:rsidTr="00CE5915">
        <w:tc>
          <w:tcPr>
            <w:tcW w:w="2245" w:type="dxa"/>
          </w:tcPr>
          <w:p w14:paraId="64F5A607" w14:textId="5DD13925"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Temporal Demand</w:t>
            </w:r>
            <w:r w:rsidR="00CE5915" w:rsidRPr="00D919C5">
              <w:rPr>
                <w:sz w:val="20"/>
                <w:szCs w:val="20"/>
              </w:rPr>
              <w:t xml:space="preserve"> (TD)</w:t>
            </w:r>
          </w:p>
        </w:tc>
        <w:tc>
          <w:tcPr>
            <w:tcW w:w="1206" w:type="dxa"/>
          </w:tcPr>
          <w:p w14:paraId="3EEF46AA" w14:textId="311E8D24"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12.7</w:t>
            </w:r>
          </w:p>
        </w:tc>
        <w:tc>
          <w:tcPr>
            <w:tcW w:w="1726" w:type="dxa"/>
          </w:tcPr>
          <w:p w14:paraId="7C76C5B7" w14:textId="3D682C7A"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r w:rsidR="004A5C17" w:rsidRPr="00D919C5" w14:paraId="3C02A599" w14:textId="77777777" w:rsidTr="00CE5915">
        <w:tc>
          <w:tcPr>
            <w:tcW w:w="2245" w:type="dxa"/>
          </w:tcPr>
          <w:p w14:paraId="5B484310" w14:textId="6EDAB47C"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Own Performance</w:t>
            </w:r>
            <w:r w:rsidR="00CE5915" w:rsidRPr="00D919C5">
              <w:rPr>
                <w:sz w:val="20"/>
                <w:szCs w:val="20"/>
              </w:rPr>
              <w:t xml:space="preserve"> (OP)</w:t>
            </w:r>
          </w:p>
        </w:tc>
        <w:tc>
          <w:tcPr>
            <w:tcW w:w="1206" w:type="dxa"/>
          </w:tcPr>
          <w:p w14:paraId="7E41A6AF" w14:textId="1AF48D00"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14.7</w:t>
            </w:r>
          </w:p>
        </w:tc>
        <w:tc>
          <w:tcPr>
            <w:tcW w:w="1726" w:type="dxa"/>
          </w:tcPr>
          <w:p w14:paraId="37A47AAA" w14:textId="6604D4AA"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r w:rsidR="004A5C17" w:rsidRPr="00D919C5" w14:paraId="06BE0F9D" w14:textId="77777777" w:rsidTr="00CE5915">
        <w:tc>
          <w:tcPr>
            <w:tcW w:w="2245" w:type="dxa"/>
          </w:tcPr>
          <w:p w14:paraId="4C97B041" w14:textId="7F10412B"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Effort</w:t>
            </w:r>
            <w:r w:rsidR="00CE5915" w:rsidRPr="00D919C5">
              <w:rPr>
                <w:sz w:val="20"/>
                <w:szCs w:val="20"/>
              </w:rPr>
              <w:t xml:space="preserve"> (E)</w:t>
            </w:r>
          </w:p>
        </w:tc>
        <w:tc>
          <w:tcPr>
            <w:tcW w:w="1206" w:type="dxa"/>
          </w:tcPr>
          <w:p w14:paraId="72518700" w14:textId="2EE5ED3F"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13.1</w:t>
            </w:r>
          </w:p>
        </w:tc>
        <w:tc>
          <w:tcPr>
            <w:tcW w:w="1726" w:type="dxa"/>
          </w:tcPr>
          <w:p w14:paraId="3CB4FF97" w14:textId="70F24D25"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r w:rsidR="004A5C17" w:rsidRPr="00D919C5" w14:paraId="009F01A7" w14:textId="77777777" w:rsidTr="00CE5915">
        <w:tc>
          <w:tcPr>
            <w:tcW w:w="2245" w:type="dxa"/>
          </w:tcPr>
          <w:p w14:paraId="44699FA6" w14:textId="75DED928"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Frustration</w:t>
            </w:r>
            <w:r w:rsidR="00CE5915" w:rsidRPr="00D919C5">
              <w:rPr>
                <w:sz w:val="20"/>
                <w:szCs w:val="20"/>
              </w:rPr>
              <w:t xml:space="preserve"> (F)</w:t>
            </w:r>
          </w:p>
        </w:tc>
        <w:tc>
          <w:tcPr>
            <w:tcW w:w="1206" w:type="dxa"/>
          </w:tcPr>
          <w:p w14:paraId="231E8430" w14:textId="60D1F8B9"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6.2</w:t>
            </w:r>
          </w:p>
        </w:tc>
        <w:tc>
          <w:tcPr>
            <w:tcW w:w="1726" w:type="dxa"/>
          </w:tcPr>
          <w:p w14:paraId="64C1F9F4" w14:textId="46CD5E6C"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Moderate</w:t>
            </w:r>
          </w:p>
        </w:tc>
      </w:tr>
      <w:tr w:rsidR="004A5C17" w:rsidRPr="00D919C5" w14:paraId="32026DD8" w14:textId="77777777" w:rsidTr="00CE5915">
        <w:tc>
          <w:tcPr>
            <w:tcW w:w="2245" w:type="dxa"/>
          </w:tcPr>
          <w:p w14:paraId="59442ABB" w14:textId="75732057" w:rsidR="004A5C17" w:rsidRPr="00D919C5" w:rsidRDefault="004A5C17" w:rsidP="008A4F7D">
            <w:pPr>
              <w:pStyle w:val="NormalWeb"/>
              <w:spacing w:before="0" w:beforeAutospacing="0" w:after="0" w:afterAutospacing="0"/>
              <w:contextualSpacing/>
              <w:jc w:val="both"/>
              <w:rPr>
                <w:sz w:val="20"/>
                <w:szCs w:val="20"/>
              </w:rPr>
            </w:pPr>
            <w:r w:rsidRPr="00D919C5">
              <w:rPr>
                <w:sz w:val="20"/>
                <w:szCs w:val="20"/>
              </w:rPr>
              <w:t>Total</w:t>
            </w:r>
          </w:p>
        </w:tc>
        <w:tc>
          <w:tcPr>
            <w:tcW w:w="1206" w:type="dxa"/>
          </w:tcPr>
          <w:p w14:paraId="27282DC3" w14:textId="791A439E"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69.1</w:t>
            </w:r>
          </w:p>
        </w:tc>
        <w:tc>
          <w:tcPr>
            <w:tcW w:w="1726" w:type="dxa"/>
          </w:tcPr>
          <w:p w14:paraId="4B7065E9" w14:textId="4476DC6A"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High</w:t>
            </w:r>
          </w:p>
        </w:tc>
      </w:tr>
    </w:tbl>
    <w:p w14:paraId="5812F715" w14:textId="57064D6F" w:rsidR="00BA6BBD" w:rsidRPr="00D919C5" w:rsidRDefault="00BA6BBD" w:rsidP="00BA6BBD">
      <w:pPr>
        <w:pStyle w:val="NormalWeb"/>
        <w:spacing w:before="0" w:beforeAutospacing="0" w:after="0" w:afterAutospacing="0"/>
        <w:contextualSpacing/>
        <w:jc w:val="both"/>
        <w:rPr>
          <w:sz w:val="20"/>
          <w:szCs w:val="20"/>
        </w:rPr>
      </w:pPr>
    </w:p>
    <w:p w14:paraId="2DB675BE" w14:textId="36B8049A" w:rsidR="00EF2B50" w:rsidRPr="00D919C5" w:rsidRDefault="00EF2B50" w:rsidP="00EF2B50">
      <w:pPr>
        <w:contextualSpacing/>
        <w:jc w:val="both"/>
        <w:rPr>
          <w:sz w:val="20"/>
          <w:szCs w:val="20"/>
        </w:rPr>
      </w:pPr>
      <w:r w:rsidRPr="00D919C5">
        <w:rPr>
          <w:sz w:val="20"/>
          <w:szCs w:val="20"/>
        </w:rPr>
        <w:t xml:space="preserve">The second objective of the study was to determine the level of job burnout. Table 2 showed the overall mean values and standard deviation analysis on job burnout. There was the low mean score on job burnout which was 14.44. Overall, the majority of the driver showed low levels of emotional exhaustion, low levels of depersonalization, and low levels of personal accomplishment. </w:t>
      </w:r>
    </w:p>
    <w:p w14:paraId="1D4C9BA7" w14:textId="60CCD033" w:rsidR="004A5C17" w:rsidRPr="00D919C5" w:rsidRDefault="004A5C17" w:rsidP="00EF2B50">
      <w:pPr>
        <w:contextualSpacing/>
        <w:jc w:val="both"/>
        <w:rPr>
          <w:sz w:val="20"/>
          <w:szCs w:val="20"/>
        </w:rPr>
      </w:pPr>
    </w:p>
    <w:p w14:paraId="2C5C231F" w14:textId="398F4FA6" w:rsidR="00576D08" w:rsidRPr="00D919C5" w:rsidRDefault="00576D08" w:rsidP="00EF2B50">
      <w:pPr>
        <w:contextualSpacing/>
        <w:jc w:val="both"/>
        <w:rPr>
          <w:sz w:val="20"/>
          <w:szCs w:val="20"/>
        </w:rPr>
      </w:pPr>
      <w:r w:rsidRPr="00D919C5">
        <w:rPr>
          <w:sz w:val="20"/>
          <w:szCs w:val="20"/>
        </w:rPr>
        <w:t>Table 2.</w:t>
      </w:r>
      <w:r w:rsidR="00950CED" w:rsidRPr="00D919C5">
        <w:rPr>
          <w:sz w:val="20"/>
          <w:szCs w:val="20"/>
        </w:rPr>
        <w:t xml:space="preserve"> Level of Burnout</w:t>
      </w:r>
    </w:p>
    <w:tbl>
      <w:tblPr>
        <w:tblStyle w:val="TableGrid"/>
        <w:tblW w:w="0" w:type="auto"/>
        <w:tblLook w:val="04A0" w:firstRow="1" w:lastRow="0" w:firstColumn="1" w:lastColumn="0" w:noHBand="0" w:noVBand="1"/>
      </w:tblPr>
      <w:tblGrid>
        <w:gridCol w:w="1725"/>
        <w:gridCol w:w="1726"/>
        <w:gridCol w:w="1726"/>
      </w:tblGrid>
      <w:tr w:rsidR="004A5C17" w:rsidRPr="00D919C5" w14:paraId="651247FB" w14:textId="77777777" w:rsidTr="00977403">
        <w:tc>
          <w:tcPr>
            <w:tcW w:w="1725" w:type="dxa"/>
          </w:tcPr>
          <w:p w14:paraId="6749E4B8" w14:textId="77777777"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Dimensions</w:t>
            </w:r>
          </w:p>
        </w:tc>
        <w:tc>
          <w:tcPr>
            <w:tcW w:w="1726" w:type="dxa"/>
          </w:tcPr>
          <w:p w14:paraId="18D867F3" w14:textId="77777777"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Mean</w:t>
            </w:r>
          </w:p>
        </w:tc>
        <w:tc>
          <w:tcPr>
            <w:tcW w:w="1726" w:type="dxa"/>
          </w:tcPr>
          <w:p w14:paraId="4118877B" w14:textId="77777777" w:rsidR="004A5C17" w:rsidRPr="00D919C5" w:rsidRDefault="004A5C17" w:rsidP="009D0F21">
            <w:pPr>
              <w:pStyle w:val="NormalWeb"/>
              <w:spacing w:before="0" w:beforeAutospacing="0" w:after="0" w:afterAutospacing="0"/>
              <w:contextualSpacing/>
              <w:jc w:val="center"/>
              <w:rPr>
                <w:sz w:val="20"/>
                <w:szCs w:val="20"/>
              </w:rPr>
            </w:pPr>
            <w:r w:rsidRPr="00D919C5">
              <w:rPr>
                <w:sz w:val="20"/>
                <w:szCs w:val="20"/>
              </w:rPr>
              <w:t>Level</w:t>
            </w:r>
          </w:p>
        </w:tc>
      </w:tr>
      <w:tr w:rsidR="004A5C17" w:rsidRPr="00D919C5" w14:paraId="4AE3DA45" w14:textId="77777777" w:rsidTr="00977403">
        <w:tc>
          <w:tcPr>
            <w:tcW w:w="1725" w:type="dxa"/>
          </w:tcPr>
          <w:p w14:paraId="09606145" w14:textId="315A2020" w:rsidR="004A5C17" w:rsidRPr="00D919C5" w:rsidRDefault="004A5C17" w:rsidP="00977403">
            <w:pPr>
              <w:pStyle w:val="NormalWeb"/>
              <w:spacing w:before="0" w:beforeAutospacing="0" w:after="0" w:afterAutospacing="0"/>
              <w:contextualSpacing/>
              <w:jc w:val="both"/>
              <w:rPr>
                <w:sz w:val="20"/>
                <w:szCs w:val="20"/>
              </w:rPr>
            </w:pPr>
            <w:r w:rsidRPr="00D919C5">
              <w:rPr>
                <w:sz w:val="20"/>
                <w:szCs w:val="20"/>
              </w:rPr>
              <w:t>Occupational Exhaustion</w:t>
            </w:r>
            <w:r w:rsidR="00CE5915" w:rsidRPr="00D919C5">
              <w:rPr>
                <w:sz w:val="20"/>
                <w:szCs w:val="20"/>
              </w:rPr>
              <w:t xml:space="preserve"> (OE)</w:t>
            </w:r>
          </w:p>
        </w:tc>
        <w:tc>
          <w:tcPr>
            <w:tcW w:w="1726" w:type="dxa"/>
          </w:tcPr>
          <w:p w14:paraId="51805BEC" w14:textId="2527F1B5"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6.61</w:t>
            </w:r>
          </w:p>
        </w:tc>
        <w:tc>
          <w:tcPr>
            <w:tcW w:w="1726" w:type="dxa"/>
          </w:tcPr>
          <w:p w14:paraId="44534DFE" w14:textId="1B4DABBB"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Low</w:t>
            </w:r>
          </w:p>
        </w:tc>
      </w:tr>
      <w:tr w:rsidR="004A5C17" w:rsidRPr="00D919C5" w14:paraId="10BE1ED6" w14:textId="77777777" w:rsidTr="00977403">
        <w:tc>
          <w:tcPr>
            <w:tcW w:w="1725" w:type="dxa"/>
          </w:tcPr>
          <w:p w14:paraId="22397078" w14:textId="21971532" w:rsidR="004A5C17" w:rsidRPr="00D919C5" w:rsidRDefault="004A5C17" w:rsidP="00977403">
            <w:pPr>
              <w:pStyle w:val="NormalWeb"/>
              <w:spacing w:before="0" w:beforeAutospacing="0" w:after="0" w:afterAutospacing="0"/>
              <w:contextualSpacing/>
              <w:jc w:val="both"/>
              <w:rPr>
                <w:sz w:val="20"/>
                <w:szCs w:val="20"/>
              </w:rPr>
            </w:pPr>
            <w:r w:rsidRPr="00D919C5">
              <w:rPr>
                <w:sz w:val="20"/>
                <w:szCs w:val="20"/>
              </w:rPr>
              <w:t>Depersonalisation</w:t>
            </w:r>
            <w:r w:rsidR="00CE5915" w:rsidRPr="00D919C5">
              <w:rPr>
                <w:sz w:val="20"/>
                <w:szCs w:val="20"/>
              </w:rPr>
              <w:t xml:space="preserve"> (D</w:t>
            </w:r>
            <w:r w:rsidR="00D50A05" w:rsidRPr="00D919C5">
              <w:rPr>
                <w:sz w:val="20"/>
                <w:szCs w:val="20"/>
              </w:rPr>
              <w:t>P</w:t>
            </w:r>
            <w:r w:rsidR="00CE5915" w:rsidRPr="00D919C5">
              <w:rPr>
                <w:sz w:val="20"/>
                <w:szCs w:val="20"/>
              </w:rPr>
              <w:t>)</w:t>
            </w:r>
          </w:p>
        </w:tc>
        <w:tc>
          <w:tcPr>
            <w:tcW w:w="1726" w:type="dxa"/>
          </w:tcPr>
          <w:p w14:paraId="109C788C" w14:textId="420F905C"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2.44</w:t>
            </w:r>
          </w:p>
        </w:tc>
        <w:tc>
          <w:tcPr>
            <w:tcW w:w="1726" w:type="dxa"/>
          </w:tcPr>
          <w:p w14:paraId="5DC95B3D" w14:textId="19F8D6C5"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Low</w:t>
            </w:r>
          </w:p>
        </w:tc>
      </w:tr>
      <w:tr w:rsidR="004A5C17" w:rsidRPr="00D919C5" w14:paraId="0C402586" w14:textId="77777777" w:rsidTr="00977403">
        <w:tc>
          <w:tcPr>
            <w:tcW w:w="1725" w:type="dxa"/>
          </w:tcPr>
          <w:p w14:paraId="68B1ABE4" w14:textId="71EA6FFB" w:rsidR="004A5C17" w:rsidRPr="00D919C5" w:rsidRDefault="004A5C17" w:rsidP="00977403">
            <w:pPr>
              <w:pStyle w:val="NormalWeb"/>
              <w:spacing w:before="0" w:beforeAutospacing="0" w:after="0" w:afterAutospacing="0"/>
              <w:contextualSpacing/>
              <w:jc w:val="both"/>
              <w:rPr>
                <w:sz w:val="20"/>
                <w:szCs w:val="20"/>
              </w:rPr>
            </w:pPr>
            <w:r w:rsidRPr="00D919C5">
              <w:rPr>
                <w:sz w:val="20"/>
                <w:szCs w:val="20"/>
              </w:rPr>
              <w:t>Personal Accomplishment</w:t>
            </w:r>
            <w:r w:rsidR="00CE5915" w:rsidRPr="00D919C5">
              <w:rPr>
                <w:sz w:val="20"/>
                <w:szCs w:val="20"/>
              </w:rPr>
              <w:t xml:space="preserve"> (PA)</w:t>
            </w:r>
          </w:p>
        </w:tc>
        <w:tc>
          <w:tcPr>
            <w:tcW w:w="1726" w:type="dxa"/>
          </w:tcPr>
          <w:p w14:paraId="031C33DB" w14:textId="50E1C782"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5.39</w:t>
            </w:r>
          </w:p>
        </w:tc>
        <w:tc>
          <w:tcPr>
            <w:tcW w:w="1726" w:type="dxa"/>
          </w:tcPr>
          <w:p w14:paraId="6BFE0CDB" w14:textId="6E6D3ABB"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Low</w:t>
            </w:r>
          </w:p>
        </w:tc>
      </w:tr>
      <w:tr w:rsidR="004A5C17" w:rsidRPr="00D919C5" w14:paraId="706AC38E" w14:textId="77777777" w:rsidTr="00977403">
        <w:tc>
          <w:tcPr>
            <w:tcW w:w="1725" w:type="dxa"/>
          </w:tcPr>
          <w:p w14:paraId="13EC48BE" w14:textId="7D07CB45" w:rsidR="004A5C17" w:rsidRPr="00D919C5" w:rsidRDefault="004A5C17" w:rsidP="00977403">
            <w:pPr>
              <w:pStyle w:val="NormalWeb"/>
              <w:spacing w:before="0" w:beforeAutospacing="0" w:after="0" w:afterAutospacing="0"/>
              <w:contextualSpacing/>
              <w:jc w:val="both"/>
              <w:rPr>
                <w:sz w:val="20"/>
                <w:szCs w:val="20"/>
              </w:rPr>
            </w:pPr>
            <w:r w:rsidRPr="00D919C5">
              <w:rPr>
                <w:sz w:val="20"/>
                <w:szCs w:val="20"/>
              </w:rPr>
              <w:t>Total</w:t>
            </w:r>
          </w:p>
        </w:tc>
        <w:tc>
          <w:tcPr>
            <w:tcW w:w="1726" w:type="dxa"/>
          </w:tcPr>
          <w:p w14:paraId="6AAF6A4D" w14:textId="2C043823"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14.44</w:t>
            </w:r>
          </w:p>
        </w:tc>
        <w:tc>
          <w:tcPr>
            <w:tcW w:w="1726" w:type="dxa"/>
          </w:tcPr>
          <w:p w14:paraId="668DFE89" w14:textId="3AFEE687" w:rsidR="004A5C17" w:rsidRPr="00D919C5" w:rsidRDefault="004A5C17" w:rsidP="00CE5915">
            <w:pPr>
              <w:pStyle w:val="NormalWeb"/>
              <w:spacing w:before="0" w:beforeAutospacing="0" w:after="0" w:afterAutospacing="0"/>
              <w:contextualSpacing/>
              <w:jc w:val="center"/>
              <w:rPr>
                <w:sz w:val="20"/>
                <w:szCs w:val="20"/>
              </w:rPr>
            </w:pPr>
            <w:r w:rsidRPr="00D919C5">
              <w:rPr>
                <w:sz w:val="20"/>
                <w:szCs w:val="20"/>
              </w:rPr>
              <w:t>Low</w:t>
            </w:r>
          </w:p>
        </w:tc>
      </w:tr>
    </w:tbl>
    <w:p w14:paraId="27D58F64" w14:textId="77777777" w:rsidR="00EF2B50" w:rsidRPr="00D919C5" w:rsidRDefault="00EF2B50" w:rsidP="00BA6BBD">
      <w:pPr>
        <w:pStyle w:val="NormalWeb"/>
        <w:spacing w:before="0" w:beforeAutospacing="0" w:after="0" w:afterAutospacing="0"/>
        <w:contextualSpacing/>
        <w:jc w:val="both"/>
        <w:rPr>
          <w:sz w:val="20"/>
          <w:szCs w:val="20"/>
        </w:rPr>
      </w:pPr>
    </w:p>
    <w:p w14:paraId="339AFB93" w14:textId="77777777" w:rsidR="00452073" w:rsidRPr="00D919C5" w:rsidRDefault="00CE5915" w:rsidP="006270E0">
      <w:pPr>
        <w:pStyle w:val="NormalWeb"/>
        <w:spacing w:before="0" w:beforeAutospacing="0" w:after="0" w:afterAutospacing="0"/>
        <w:contextualSpacing/>
        <w:jc w:val="both"/>
        <w:rPr>
          <w:rFonts w:ascii="TimesNewRomanPSMT" w:hAnsi="TimesNewRomanPSMT"/>
          <w:color w:val="000000" w:themeColor="text1"/>
          <w:sz w:val="20"/>
          <w:szCs w:val="20"/>
        </w:rPr>
      </w:pPr>
      <w:r w:rsidRPr="00D919C5">
        <w:rPr>
          <w:rFonts w:ascii="TimesNewRomanPSMT" w:hAnsi="TimesNewRomanPSMT"/>
          <w:color w:val="000000" w:themeColor="text1"/>
          <w:sz w:val="20"/>
          <w:szCs w:val="20"/>
        </w:rPr>
        <w:t xml:space="preserve">The third objective of the study was to determine the relationship between workload and job burnout among drivers. </w:t>
      </w:r>
      <w:r w:rsidR="006270E0" w:rsidRPr="00D919C5">
        <w:rPr>
          <w:rFonts w:ascii="TimesNewRomanPSMT" w:hAnsi="TimesNewRomanPSMT"/>
          <w:color w:val="000000" w:themeColor="text1"/>
          <w:sz w:val="20"/>
          <w:szCs w:val="20"/>
        </w:rPr>
        <w:t xml:space="preserve">Table 3 presents the correlations analysis between the workload and job burnout among the river. Table 3 showed the overall value of </w:t>
      </w:r>
      <w:r w:rsidR="00D50A05" w:rsidRPr="00D919C5">
        <w:rPr>
          <w:rFonts w:ascii="TimesNewRomanPSMT" w:hAnsi="TimesNewRomanPSMT"/>
          <w:color w:val="000000" w:themeColor="text1"/>
          <w:sz w:val="20"/>
          <w:szCs w:val="20"/>
        </w:rPr>
        <w:t xml:space="preserve">Pearson </w:t>
      </w:r>
      <w:r w:rsidR="006270E0" w:rsidRPr="00D919C5">
        <w:rPr>
          <w:rFonts w:ascii="TimesNewRomanPSMT" w:hAnsi="TimesNewRomanPSMT"/>
          <w:color w:val="000000" w:themeColor="text1"/>
          <w:sz w:val="20"/>
          <w:szCs w:val="20"/>
        </w:rPr>
        <w:t xml:space="preserve">correlation coefficient and significant value between workload and job burnout (r = 0.50**, p = 0.000). </w:t>
      </w:r>
      <w:r w:rsidR="00EB7E84" w:rsidRPr="00D919C5">
        <w:rPr>
          <w:color w:val="0E101A"/>
          <w:sz w:val="20"/>
          <w:szCs w:val="20"/>
        </w:rPr>
        <w:t xml:space="preserve">There was no significant relationship between workload and burnout (p&gt; 0.05: Pearson Correlation tests). The workers obtained the highest level of workload in terms of performance. Their workload was the lowest in terms of frustration. From the perspective of mental pressure, physical pressure, time pressure, own performance and effort, their workload was evaluated to be high. In general, it can </w:t>
      </w:r>
      <w:r w:rsidR="00EB7E84" w:rsidRPr="00D919C5">
        <w:rPr>
          <w:color w:val="0E101A"/>
          <w:sz w:val="20"/>
          <w:szCs w:val="20"/>
        </w:rPr>
        <w:t>be concluded that there is no significant association between job burnout and workload</w:t>
      </w:r>
      <w:r w:rsidR="006270E0" w:rsidRPr="00D919C5">
        <w:rPr>
          <w:rFonts w:ascii="TimesNewRomanPSMT" w:hAnsi="TimesNewRomanPSMT"/>
          <w:color w:val="000000" w:themeColor="text1"/>
          <w:sz w:val="20"/>
          <w:szCs w:val="20"/>
        </w:rPr>
        <w:t>.</w:t>
      </w:r>
    </w:p>
    <w:p w14:paraId="54CD7E3E" w14:textId="77777777" w:rsidR="00452073" w:rsidRPr="00D919C5" w:rsidRDefault="00452073" w:rsidP="006270E0">
      <w:pPr>
        <w:pStyle w:val="NormalWeb"/>
        <w:spacing w:before="0" w:beforeAutospacing="0" w:after="0" w:afterAutospacing="0"/>
        <w:contextualSpacing/>
        <w:jc w:val="both"/>
        <w:rPr>
          <w:rFonts w:ascii="TimesNewRomanPSMT" w:hAnsi="TimesNewRomanPSMT"/>
          <w:color w:val="000000" w:themeColor="text1"/>
          <w:sz w:val="20"/>
          <w:szCs w:val="20"/>
        </w:rPr>
      </w:pPr>
    </w:p>
    <w:p w14:paraId="5A61AFFF" w14:textId="5BB1F33E" w:rsidR="006270E0" w:rsidRPr="00D919C5" w:rsidRDefault="00D50A05" w:rsidP="006270E0">
      <w:pPr>
        <w:pStyle w:val="NormalWeb"/>
        <w:spacing w:before="0" w:beforeAutospacing="0" w:after="0" w:afterAutospacing="0"/>
        <w:contextualSpacing/>
        <w:jc w:val="both"/>
        <w:rPr>
          <w:rFonts w:ascii="TimesNewRomanPSMT" w:hAnsi="TimesNewRomanPSMT"/>
          <w:color w:val="000000" w:themeColor="text1"/>
          <w:sz w:val="20"/>
          <w:szCs w:val="20"/>
        </w:rPr>
      </w:pPr>
      <w:r w:rsidRPr="00D919C5">
        <w:rPr>
          <w:rFonts w:ascii="TimesNewRomanPSMT" w:hAnsi="TimesNewRomanPSMT"/>
          <w:color w:val="000000" w:themeColor="text1"/>
          <w:sz w:val="20"/>
          <w:szCs w:val="20"/>
        </w:rPr>
        <w:t>As explained in the previous table, the low and insignificant correlation between mental workload and burnout in drivers is due to a good work environment, the high sense of tolerance between each driver makes the level of sense of family among the drivers high. This good work environment makes drivers not feel pressured when given a tough job and can do the job well.</w:t>
      </w:r>
    </w:p>
    <w:p w14:paraId="1994AB35" w14:textId="77777777" w:rsidR="00D50A05" w:rsidRPr="00D919C5" w:rsidRDefault="00D50A05" w:rsidP="006270E0">
      <w:pPr>
        <w:pStyle w:val="NormalWeb"/>
        <w:spacing w:before="0" w:beforeAutospacing="0" w:after="0" w:afterAutospacing="0"/>
        <w:contextualSpacing/>
        <w:jc w:val="both"/>
        <w:rPr>
          <w:color w:val="000000" w:themeColor="text1"/>
          <w:sz w:val="20"/>
          <w:szCs w:val="20"/>
        </w:rPr>
      </w:pPr>
    </w:p>
    <w:p w14:paraId="605CF41E" w14:textId="2D9D2BCC" w:rsidR="00576D08" w:rsidRPr="00D919C5" w:rsidRDefault="00576D08" w:rsidP="006270E0">
      <w:pPr>
        <w:pStyle w:val="NormalWeb"/>
        <w:spacing w:before="0" w:beforeAutospacing="0" w:after="0" w:afterAutospacing="0"/>
        <w:contextualSpacing/>
        <w:jc w:val="both"/>
        <w:rPr>
          <w:sz w:val="20"/>
          <w:szCs w:val="20"/>
        </w:rPr>
      </w:pPr>
      <w:r w:rsidRPr="00D919C5">
        <w:rPr>
          <w:sz w:val="20"/>
          <w:szCs w:val="20"/>
        </w:rPr>
        <w:t>Table 3.</w:t>
      </w:r>
      <w:r w:rsidR="00950CED" w:rsidRPr="00D919C5">
        <w:rPr>
          <w:sz w:val="20"/>
          <w:szCs w:val="20"/>
        </w:rPr>
        <w:t xml:space="preserve"> Correlation between the Mental Workload and Burnout</w:t>
      </w:r>
    </w:p>
    <w:tbl>
      <w:tblPr>
        <w:tblStyle w:val="TableGrid"/>
        <w:tblW w:w="0" w:type="auto"/>
        <w:tblLook w:val="04A0" w:firstRow="1" w:lastRow="0" w:firstColumn="1" w:lastColumn="0" w:noHBand="0" w:noVBand="1"/>
      </w:tblPr>
      <w:tblGrid>
        <w:gridCol w:w="1294"/>
        <w:gridCol w:w="1294"/>
        <w:gridCol w:w="1294"/>
        <w:gridCol w:w="1295"/>
      </w:tblGrid>
      <w:tr w:rsidR="006270E0" w:rsidRPr="00D919C5" w14:paraId="7716A1BE" w14:textId="77777777" w:rsidTr="006270E0">
        <w:tc>
          <w:tcPr>
            <w:tcW w:w="1294" w:type="dxa"/>
          </w:tcPr>
          <w:p w14:paraId="795A67BB" w14:textId="7E04EB3C" w:rsidR="006270E0" w:rsidRPr="00D919C5" w:rsidRDefault="006270E0" w:rsidP="006270E0">
            <w:pPr>
              <w:pStyle w:val="NormalWeb"/>
              <w:spacing w:before="0" w:beforeAutospacing="0" w:after="0" w:afterAutospacing="0"/>
              <w:contextualSpacing/>
              <w:jc w:val="center"/>
              <w:rPr>
                <w:sz w:val="20"/>
                <w:szCs w:val="20"/>
              </w:rPr>
            </w:pPr>
            <w:r w:rsidRPr="00D919C5">
              <w:rPr>
                <w:sz w:val="20"/>
                <w:szCs w:val="20"/>
              </w:rPr>
              <w:t>Variables</w:t>
            </w:r>
          </w:p>
        </w:tc>
        <w:tc>
          <w:tcPr>
            <w:tcW w:w="1294" w:type="dxa"/>
          </w:tcPr>
          <w:p w14:paraId="1C4A7436" w14:textId="4DACB320" w:rsidR="006270E0" w:rsidRPr="00D919C5" w:rsidRDefault="006270E0" w:rsidP="006270E0">
            <w:pPr>
              <w:pStyle w:val="NormalWeb"/>
              <w:spacing w:before="0" w:beforeAutospacing="0" w:after="0" w:afterAutospacing="0"/>
              <w:contextualSpacing/>
              <w:jc w:val="center"/>
              <w:rPr>
                <w:sz w:val="20"/>
                <w:szCs w:val="20"/>
              </w:rPr>
            </w:pPr>
            <w:r w:rsidRPr="00D919C5">
              <w:rPr>
                <w:sz w:val="20"/>
                <w:szCs w:val="20"/>
              </w:rPr>
              <w:t>EE</w:t>
            </w:r>
          </w:p>
        </w:tc>
        <w:tc>
          <w:tcPr>
            <w:tcW w:w="1294" w:type="dxa"/>
          </w:tcPr>
          <w:p w14:paraId="6F58F815" w14:textId="1D2399A4" w:rsidR="006270E0" w:rsidRPr="00D919C5" w:rsidRDefault="006270E0" w:rsidP="006270E0">
            <w:pPr>
              <w:pStyle w:val="NormalWeb"/>
              <w:spacing w:before="0" w:beforeAutospacing="0" w:after="0" w:afterAutospacing="0"/>
              <w:contextualSpacing/>
              <w:jc w:val="center"/>
              <w:rPr>
                <w:sz w:val="20"/>
                <w:szCs w:val="20"/>
              </w:rPr>
            </w:pPr>
            <w:r w:rsidRPr="00D919C5">
              <w:rPr>
                <w:sz w:val="20"/>
                <w:szCs w:val="20"/>
              </w:rPr>
              <w:t>DP</w:t>
            </w:r>
          </w:p>
        </w:tc>
        <w:tc>
          <w:tcPr>
            <w:tcW w:w="1295" w:type="dxa"/>
          </w:tcPr>
          <w:p w14:paraId="43322DDF" w14:textId="21DEF581" w:rsidR="006270E0" w:rsidRPr="00D919C5" w:rsidRDefault="006270E0" w:rsidP="006270E0">
            <w:pPr>
              <w:pStyle w:val="NormalWeb"/>
              <w:spacing w:before="0" w:beforeAutospacing="0" w:after="0" w:afterAutospacing="0"/>
              <w:contextualSpacing/>
              <w:jc w:val="center"/>
              <w:rPr>
                <w:sz w:val="20"/>
                <w:szCs w:val="20"/>
              </w:rPr>
            </w:pPr>
            <w:r w:rsidRPr="00D919C5">
              <w:rPr>
                <w:sz w:val="20"/>
                <w:szCs w:val="20"/>
              </w:rPr>
              <w:t>PA</w:t>
            </w:r>
          </w:p>
        </w:tc>
      </w:tr>
      <w:tr w:rsidR="006270E0" w:rsidRPr="00D919C5" w14:paraId="18C8271C" w14:textId="77777777" w:rsidTr="006270E0">
        <w:tc>
          <w:tcPr>
            <w:tcW w:w="1294" w:type="dxa"/>
          </w:tcPr>
          <w:p w14:paraId="3A47FF25" w14:textId="349A0341"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MD</w:t>
            </w:r>
          </w:p>
        </w:tc>
        <w:tc>
          <w:tcPr>
            <w:tcW w:w="1294" w:type="dxa"/>
          </w:tcPr>
          <w:p w14:paraId="7713F180" w14:textId="06057AB0"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0.857</w:t>
            </w:r>
          </w:p>
        </w:tc>
        <w:tc>
          <w:tcPr>
            <w:tcW w:w="1294" w:type="dxa"/>
          </w:tcPr>
          <w:p w14:paraId="5324AB24" w14:textId="6E520A55"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0.799</w:t>
            </w:r>
          </w:p>
        </w:tc>
        <w:tc>
          <w:tcPr>
            <w:tcW w:w="1295" w:type="dxa"/>
          </w:tcPr>
          <w:p w14:paraId="40C676CB" w14:textId="0A6F830D"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0.603</w:t>
            </w:r>
          </w:p>
        </w:tc>
      </w:tr>
      <w:tr w:rsidR="006270E0" w:rsidRPr="00D919C5" w14:paraId="59815779" w14:textId="77777777" w:rsidTr="006270E0">
        <w:tc>
          <w:tcPr>
            <w:tcW w:w="1294" w:type="dxa"/>
          </w:tcPr>
          <w:p w14:paraId="51911D16" w14:textId="07C43924"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PD</w:t>
            </w:r>
          </w:p>
        </w:tc>
        <w:tc>
          <w:tcPr>
            <w:tcW w:w="1294" w:type="dxa"/>
          </w:tcPr>
          <w:p w14:paraId="4715AC82" w14:textId="23D641A1"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0.334</w:t>
            </w:r>
          </w:p>
        </w:tc>
        <w:tc>
          <w:tcPr>
            <w:tcW w:w="1294" w:type="dxa"/>
          </w:tcPr>
          <w:p w14:paraId="2587D710" w14:textId="66CE5837"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0.339</w:t>
            </w:r>
          </w:p>
        </w:tc>
        <w:tc>
          <w:tcPr>
            <w:tcW w:w="1295" w:type="dxa"/>
          </w:tcPr>
          <w:p w14:paraId="67524080" w14:textId="6E061B39"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0.655</w:t>
            </w:r>
          </w:p>
        </w:tc>
      </w:tr>
      <w:tr w:rsidR="006270E0" w:rsidRPr="00D919C5" w14:paraId="0DFE9CA7" w14:textId="77777777" w:rsidTr="006270E0">
        <w:tc>
          <w:tcPr>
            <w:tcW w:w="1294" w:type="dxa"/>
          </w:tcPr>
          <w:p w14:paraId="5205A927" w14:textId="1F23F9EB"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TD</w:t>
            </w:r>
          </w:p>
        </w:tc>
        <w:tc>
          <w:tcPr>
            <w:tcW w:w="1294" w:type="dxa"/>
          </w:tcPr>
          <w:p w14:paraId="3E372219" w14:textId="76C498B3"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0.733</w:t>
            </w:r>
          </w:p>
        </w:tc>
        <w:tc>
          <w:tcPr>
            <w:tcW w:w="1294" w:type="dxa"/>
          </w:tcPr>
          <w:p w14:paraId="6423E642" w14:textId="6CE42D5D"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0.139</w:t>
            </w:r>
          </w:p>
        </w:tc>
        <w:tc>
          <w:tcPr>
            <w:tcW w:w="1295" w:type="dxa"/>
          </w:tcPr>
          <w:p w14:paraId="50454F43" w14:textId="30C89F4B"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0.984</w:t>
            </w:r>
          </w:p>
        </w:tc>
      </w:tr>
      <w:tr w:rsidR="006270E0" w:rsidRPr="00D919C5" w14:paraId="3A107A6A" w14:textId="77777777" w:rsidTr="006270E0">
        <w:tc>
          <w:tcPr>
            <w:tcW w:w="1294" w:type="dxa"/>
          </w:tcPr>
          <w:p w14:paraId="7BCC67F0" w14:textId="649C6473"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OP</w:t>
            </w:r>
          </w:p>
        </w:tc>
        <w:tc>
          <w:tcPr>
            <w:tcW w:w="1294" w:type="dxa"/>
          </w:tcPr>
          <w:p w14:paraId="6BBC6802" w14:textId="105AB6C8"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0.888</w:t>
            </w:r>
          </w:p>
        </w:tc>
        <w:tc>
          <w:tcPr>
            <w:tcW w:w="1294" w:type="dxa"/>
          </w:tcPr>
          <w:p w14:paraId="35EEFE74" w14:textId="6335C38B"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0.257</w:t>
            </w:r>
          </w:p>
        </w:tc>
        <w:tc>
          <w:tcPr>
            <w:tcW w:w="1295" w:type="dxa"/>
          </w:tcPr>
          <w:p w14:paraId="2CA46702" w14:textId="37B1C3E9"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0.778</w:t>
            </w:r>
          </w:p>
        </w:tc>
      </w:tr>
      <w:tr w:rsidR="006270E0" w:rsidRPr="00D919C5" w14:paraId="27BB5206" w14:textId="77777777" w:rsidTr="006270E0">
        <w:tc>
          <w:tcPr>
            <w:tcW w:w="1294" w:type="dxa"/>
          </w:tcPr>
          <w:p w14:paraId="25350150" w14:textId="00E7D4DF"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EF</w:t>
            </w:r>
          </w:p>
        </w:tc>
        <w:tc>
          <w:tcPr>
            <w:tcW w:w="1294" w:type="dxa"/>
          </w:tcPr>
          <w:p w14:paraId="7D801481" w14:textId="526B7FBE"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0.706</w:t>
            </w:r>
          </w:p>
        </w:tc>
        <w:tc>
          <w:tcPr>
            <w:tcW w:w="1294" w:type="dxa"/>
          </w:tcPr>
          <w:p w14:paraId="359F8CC7" w14:textId="2AA09CF7"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0.797</w:t>
            </w:r>
          </w:p>
        </w:tc>
        <w:tc>
          <w:tcPr>
            <w:tcW w:w="1295" w:type="dxa"/>
          </w:tcPr>
          <w:p w14:paraId="44E88822" w14:textId="0DF20BA2"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0.845</w:t>
            </w:r>
          </w:p>
        </w:tc>
      </w:tr>
      <w:tr w:rsidR="006270E0" w:rsidRPr="00D919C5" w14:paraId="26CDF391" w14:textId="77777777" w:rsidTr="006270E0">
        <w:tc>
          <w:tcPr>
            <w:tcW w:w="1294" w:type="dxa"/>
          </w:tcPr>
          <w:p w14:paraId="58468991" w14:textId="5B9915B2" w:rsidR="006270E0" w:rsidRPr="00D919C5" w:rsidRDefault="006270E0" w:rsidP="006270E0">
            <w:pPr>
              <w:pStyle w:val="NormalWeb"/>
              <w:spacing w:before="0" w:beforeAutospacing="0" w:after="0" w:afterAutospacing="0"/>
              <w:contextualSpacing/>
              <w:jc w:val="both"/>
              <w:rPr>
                <w:sz w:val="20"/>
                <w:szCs w:val="20"/>
              </w:rPr>
            </w:pPr>
            <w:r w:rsidRPr="00D919C5">
              <w:rPr>
                <w:sz w:val="20"/>
                <w:szCs w:val="20"/>
              </w:rPr>
              <w:t>FR</w:t>
            </w:r>
          </w:p>
        </w:tc>
        <w:tc>
          <w:tcPr>
            <w:tcW w:w="1294" w:type="dxa"/>
          </w:tcPr>
          <w:p w14:paraId="25187444" w14:textId="1D77C9EB"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0.992</w:t>
            </w:r>
          </w:p>
        </w:tc>
        <w:tc>
          <w:tcPr>
            <w:tcW w:w="1294" w:type="dxa"/>
          </w:tcPr>
          <w:p w14:paraId="36312075" w14:textId="1443C817"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0.769</w:t>
            </w:r>
          </w:p>
        </w:tc>
        <w:tc>
          <w:tcPr>
            <w:tcW w:w="1295" w:type="dxa"/>
          </w:tcPr>
          <w:p w14:paraId="15B6F47C" w14:textId="46F9AC0F" w:rsidR="006270E0" w:rsidRPr="00D919C5" w:rsidRDefault="006270E0" w:rsidP="00CE5915">
            <w:pPr>
              <w:pStyle w:val="NormalWeb"/>
              <w:spacing w:before="0" w:beforeAutospacing="0" w:after="0" w:afterAutospacing="0"/>
              <w:contextualSpacing/>
              <w:jc w:val="center"/>
              <w:rPr>
                <w:sz w:val="20"/>
                <w:szCs w:val="20"/>
              </w:rPr>
            </w:pPr>
            <w:r w:rsidRPr="00D919C5">
              <w:rPr>
                <w:sz w:val="20"/>
                <w:szCs w:val="20"/>
              </w:rPr>
              <w:t>0.226</w:t>
            </w:r>
          </w:p>
        </w:tc>
      </w:tr>
    </w:tbl>
    <w:p w14:paraId="6E8B5649" w14:textId="77777777" w:rsidR="006270E0" w:rsidRPr="00D919C5" w:rsidRDefault="006270E0" w:rsidP="006270E0">
      <w:pPr>
        <w:pStyle w:val="NormalWeb"/>
        <w:spacing w:before="0" w:beforeAutospacing="0" w:after="0" w:afterAutospacing="0"/>
        <w:contextualSpacing/>
        <w:jc w:val="both"/>
        <w:rPr>
          <w:sz w:val="20"/>
          <w:szCs w:val="20"/>
        </w:rPr>
      </w:pPr>
    </w:p>
    <w:p w14:paraId="58197ECE" w14:textId="24DF9C05" w:rsidR="00576D08" w:rsidRPr="00D919C5" w:rsidRDefault="00BA6BBD" w:rsidP="00BA6BBD">
      <w:pPr>
        <w:contextualSpacing/>
        <w:jc w:val="both"/>
        <w:rPr>
          <w:sz w:val="20"/>
          <w:szCs w:val="20"/>
        </w:rPr>
      </w:pPr>
      <w:r w:rsidRPr="00D919C5">
        <w:rPr>
          <w:sz w:val="20"/>
          <w:szCs w:val="20"/>
        </w:rPr>
        <w:t>T-test result showed beta coefficient (β) of mental workload on burnout is 0.</w:t>
      </w:r>
      <w:r w:rsidR="00F00A2E" w:rsidRPr="00D919C5">
        <w:rPr>
          <w:sz w:val="20"/>
          <w:szCs w:val="20"/>
        </w:rPr>
        <w:t>233</w:t>
      </w:r>
      <w:r w:rsidRPr="00D919C5">
        <w:rPr>
          <w:sz w:val="20"/>
          <w:szCs w:val="20"/>
        </w:rPr>
        <w:t>, which means that mental workload has a positive effect on burnout of 0.</w:t>
      </w:r>
      <w:r w:rsidR="00F00A2E" w:rsidRPr="00D919C5">
        <w:rPr>
          <w:sz w:val="20"/>
          <w:szCs w:val="20"/>
        </w:rPr>
        <w:t>233</w:t>
      </w:r>
      <w:r w:rsidRPr="00D919C5">
        <w:rPr>
          <w:sz w:val="20"/>
          <w:szCs w:val="20"/>
        </w:rPr>
        <w:t xml:space="preserve">. The value of </w:t>
      </w:r>
      <w:proofErr w:type="spellStart"/>
      <w:r w:rsidRPr="00D919C5">
        <w:rPr>
          <w:sz w:val="20"/>
          <w:szCs w:val="20"/>
        </w:rPr>
        <w:t>t</w:t>
      </w:r>
      <w:r w:rsidRPr="00D919C5">
        <w:rPr>
          <w:sz w:val="20"/>
          <w:szCs w:val="20"/>
          <w:vertAlign w:val="subscript"/>
        </w:rPr>
        <w:t>count</w:t>
      </w:r>
      <w:proofErr w:type="spellEnd"/>
      <w:r w:rsidRPr="00D919C5">
        <w:rPr>
          <w:sz w:val="20"/>
          <w:szCs w:val="20"/>
        </w:rPr>
        <w:t xml:space="preserve"> is </w:t>
      </w:r>
      <w:r w:rsidR="00F00A2E" w:rsidRPr="00D919C5">
        <w:rPr>
          <w:sz w:val="20"/>
          <w:szCs w:val="20"/>
        </w:rPr>
        <w:t>0.903</w:t>
      </w:r>
      <w:r w:rsidRPr="00D919C5">
        <w:rPr>
          <w:sz w:val="20"/>
          <w:szCs w:val="20"/>
        </w:rPr>
        <w:t>, and the score of the t- table is 1.</w:t>
      </w:r>
      <w:r w:rsidR="00F00A2E" w:rsidRPr="00D919C5">
        <w:rPr>
          <w:sz w:val="20"/>
          <w:szCs w:val="20"/>
        </w:rPr>
        <w:t>7341</w:t>
      </w:r>
      <w:r w:rsidRPr="00D919C5">
        <w:rPr>
          <w:sz w:val="20"/>
          <w:szCs w:val="20"/>
        </w:rPr>
        <w:t xml:space="preserve">, so the value of </w:t>
      </w:r>
      <w:proofErr w:type="spellStart"/>
      <w:r w:rsidRPr="00D919C5">
        <w:rPr>
          <w:sz w:val="20"/>
          <w:szCs w:val="20"/>
        </w:rPr>
        <w:t>t</w:t>
      </w:r>
      <w:r w:rsidRPr="00D919C5">
        <w:rPr>
          <w:sz w:val="20"/>
          <w:szCs w:val="20"/>
          <w:vertAlign w:val="subscript"/>
        </w:rPr>
        <w:t>count</w:t>
      </w:r>
      <w:proofErr w:type="spellEnd"/>
      <w:r w:rsidRPr="00D919C5">
        <w:rPr>
          <w:sz w:val="20"/>
          <w:szCs w:val="20"/>
        </w:rPr>
        <w:t xml:space="preserve"> is </w:t>
      </w:r>
      <w:r w:rsidR="00F00A2E" w:rsidRPr="00D919C5">
        <w:rPr>
          <w:sz w:val="20"/>
          <w:szCs w:val="20"/>
        </w:rPr>
        <w:t>less</w:t>
      </w:r>
      <w:r w:rsidRPr="00D919C5">
        <w:rPr>
          <w:sz w:val="20"/>
          <w:szCs w:val="20"/>
        </w:rPr>
        <w:t xml:space="preserve"> significant than the t-table value. </w:t>
      </w:r>
      <w:r w:rsidR="0011230B" w:rsidRPr="00D919C5">
        <w:rPr>
          <w:sz w:val="20"/>
          <w:szCs w:val="20"/>
        </w:rPr>
        <w:t xml:space="preserve">The value of Chi-square is 0.048 means the mental workload only affect 4.8% on burnout. </w:t>
      </w:r>
      <w:r w:rsidRPr="00D919C5">
        <w:rPr>
          <w:sz w:val="20"/>
          <w:szCs w:val="20"/>
        </w:rPr>
        <w:t>Thus, the mental workload on burnout is 0.</w:t>
      </w:r>
      <w:r w:rsidR="00F00A2E" w:rsidRPr="00D919C5">
        <w:rPr>
          <w:sz w:val="20"/>
          <w:szCs w:val="20"/>
        </w:rPr>
        <w:t>380</w:t>
      </w:r>
      <w:r w:rsidRPr="00D919C5">
        <w:rPr>
          <w:sz w:val="20"/>
          <w:szCs w:val="20"/>
        </w:rPr>
        <w:t xml:space="preserve">, where this value is </w:t>
      </w:r>
      <w:r w:rsidR="00F00A2E" w:rsidRPr="00D919C5">
        <w:rPr>
          <w:sz w:val="20"/>
          <w:szCs w:val="20"/>
        </w:rPr>
        <w:t>higher</w:t>
      </w:r>
      <w:r w:rsidRPr="00D919C5">
        <w:rPr>
          <w:sz w:val="20"/>
          <w:szCs w:val="20"/>
        </w:rPr>
        <w:t xml:space="preserve"> than 0.05. Therefore, the mental workload has a positive </w:t>
      </w:r>
      <w:r w:rsidR="00F00A2E" w:rsidRPr="00D919C5">
        <w:rPr>
          <w:sz w:val="20"/>
          <w:szCs w:val="20"/>
        </w:rPr>
        <w:t>but not</w:t>
      </w:r>
      <w:r w:rsidRPr="00D919C5">
        <w:rPr>
          <w:sz w:val="20"/>
          <w:szCs w:val="20"/>
        </w:rPr>
        <w:t xml:space="preserve"> significant effect on burnout. </w:t>
      </w:r>
      <w:r w:rsidR="00576D08" w:rsidRPr="00D919C5">
        <w:rPr>
          <w:sz w:val="20"/>
          <w:szCs w:val="20"/>
        </w:rPr>
        <w:t>In this study the results</w:t>
      </w:r>
      <w:r w:rsidR="00783B28" w:rsidRPr="00D919C5">
        <w:rPr>
          <w:sz w:val="20"/>
          <w:szCs w:val="20"/>
        </w:rPr>
        <w:t xml:space="preserve"> show that the somewhat high mental workload level variable has no significant effect on the </w:t>
      </w:r>
      <w:r w:rsidR="00EB7E84" w:rsidRPr="00D919C5">
        <w:rPr>
          <w:sz w:val="20"/>
          <w:szCs w:val="20"/>
        </w:rPr>
        <w:t>emotional exhaustion</w:t>
      </w:r>
      <w:r w:rsidR="00783B28" w:rsidRPr="00D919C5">
        <w:rPr>
          <w:sz w:val="20"/>
          <w:szCs w:val="20"/>
        </w:rPr>
        <w:t xml:space="preserve">, </w:t>
      </w:r>
      <w:r w:rsidR="00EB7E84" w:rsidRPr="00D919C5">
        <w:rPr>
          <w:sz w:val="20"/>
          <w:szCs w:val="20"/>
        </w:rPr>
        <w:t>depersonalisation</w:t>
      </w:r>
      <w:r w:rsidR="00783B28" w:rsidRPr="00D919C5">
        <w:rPr>
          <w:sz w:val="20"/>
          <w:szCs w:val="20"/>
        </w:rPr>
        <w:t xml:space="preserve">, and </w:t>
      </w:r>
      <w:r w:rsidR="00EB7E84" w:rsidRPr="00D919C5">
        <w:rPr>
          <w:sz w:val="20"/>
          <w:szCs w:val="20"/>
        </w:rPr>
        <w:t>personal accomplishment</w:t>
      </w:r>
      <w:r w:rsidR="00783B28" w:rsidRPr="00D919C5">
        <w:rPr>
          <w:sz w:val="20"/>
          <w:szCs w:val="20"/>
        </w:rPr>
        <w:t xml:space="preserve"> subscale (p&gt; 0.05). This means that the mental workload variable has no significant effect on burnout. This result contrast with </w:t>
      </w:r>
      <w:proofErr w:type="spellStart"/>
      <w:r w:rsidR="00783B28" w:rsidRPr="00D919C5">
        <w:rPr>
          <w:sz w:val="20"/>
          <w:szCs w:val="20"/>
        </w:rPr>
        <w:t>Khandan</w:t>
      </w:r>
      <w:proofErr w:type="spellEnd"/>
      <w:r w:rsidR="00783B28" w:rsidRPr="00D919C5">
        <w:rPr>
          <w:sz w:val="20"/>
          <w:szCs w:val="20"/>
        </w:rPr>
        <w:t xml:space="preserve"> (2015) states that there is a positive correlation between mental workload and burnout, namely a negative correlation between work performance and emotional exhaustion and a positive correlation between the level of frustration and emotional exhaustion.</w:t>
      </w:r>
    </w:p>
    <w:p w14:paraId="4DD7D8B8" w14:textId="77777777" w:rsidR="00BA6BBD" w:rsidRPr="00D919C5" w:rsidRDefault="00BA6BBD" w:rsidP="00BA6BBD">
      <w:pPr>
        <w:jc w:val="both"/>
        <w:rPr>
          <w:color w:val="FF0000"/>
          <w:sz w:val="20"/>
          <w:szCs w:val="20"/>
        </w:rPr>
      </w:pPr>
    </w:p>
    <w:p w14:paraId="6CA1EF3F" w14:textId="77777777" w:rsidR="00BA6BBD" w:rsidRPr="00D919C5" w:rsidRDefault="00BA6BBD" w:rsidP="00BA6BBD">
      <w:pPr>
        <w:jc w:val="both"/>
        <w:rPr>
          <w:color w:val="0E101A"/>
          <w:sz w:val="20"/>
          <w:szCs w:val="20"/>
        </w:rPr>
      </w:pPr>
      <w:r w:rsidRPr="00D919C5">
        <w:rPr>
          <w:color w:val="0E101A"/>
          <w:sz w:val="20"/>
          <w:szCs w:val="20"/>
        </w:rPr>
        <w:t>CONCLUSIONS</w:t>
      </w:r>
    </w:p>
    <w:p w14:paraId="1B642D04" w14:textId="77777777" w:rsidR="00BA6BBD" w:rsidRPr="00D919C5" w:rsidRDefault="00BA6BBD" w:rsidP="00BA6BBD">
      <w:pPr>
        <w:jc w:val="both"/>
        <w:rPr>
          <w:color w:val="0E101A"/>
          <w:sz w:val="20"/>
          <w:szCs w:val="20"/>
        </w:rPr>
      </w:pPr>
    </w:p>
    <w:p w14:paraId="21410543" w14:textId="77777777" w:rsidR="00452073" w:rsidRPr="00D919C5" w:rsidRDefault="00783B28" w:rsidP="00783B28">
      <w:pPr>
        <w:pStyle w:val="NormalWeb"/>
        <w:spacing w:before="0" w:beforeAutospacing="0" w:after="0" w:afterAutospacing="0"/>
        <w:contextualSpacing/>
        <w:jc w:val="both"/>
        <w:rPr>
          <w:sz w:val="20"/>
          <w:szCs w:val="20"/>
        </w:rPr>
      </w:pPr>
      <w:r w:rsidRPr="00D919C5">
        <w:rPr>
          <w:sz w:val="20"/>
          <w:szCs w:val="20"/>
        </w:rPr>
        <w:t xml:space="preserve">Considering the results of the present study, it can be concluded that mental workload is not one of the contributing factors of burnout. </w:t>
      </w:r>
      <w:r w:rsidR="009603E5" w:rsidRPr="00D919C5">
        <w:rPr>
          <w:sz w:val="20"/>
          <w:szCs w:val="20"/>
        </w:rPr>
        <w:t xml:space="preserve">The results of the research that have been stated above indicate that the mental workload partially have a negative and significant effect on the job burnout of drivers. Therefore, company management needs to evaluate driver’s  mental, and burnout periodically. Mental workload does not significantly affect the burnout of drivers.  </w:t>
      </w:r>
      <w:r w:rsidR="00BA6BBD" w:rsidRPr="00D919C5">
        <w:rPr>
          <w:sz w:val="20"/>
          <w:szCs w:val="20"/>
        </w:rPr>
        <w:t xml:space="preserve">Given the findings of this study and the importance of the </w:t>
      </w:r>
      <w:r w:rsidRPr="00D919C5">
        <w:rPr>
          <w:sz w:val="20"/>
          <w:szCs w:val="20"/>
        </w:rPr>
        <w:t>d</w:t>
      </w:r>
      <w:r w:rsidR="00BA6BBD" w:rsidRPr="00D919C5">
        <w:rPr>
          <w:sz w:val="20"/>
          <w:szCs w:val="20"/>
        </w:rPr>
        <w:t>river profession for this company, it is crucial to address the drivers' problems.</w:t>
      </w:r>
    </w:p>
    <w:p w14:paraId="2DFACE67" w14:textId="77777777" w:rsidR="00452073" w:rsidRPr="00D919C5" w:rsidRDefault="00452073" w:rsidP="00783B28">
      <w:pPr>
        <w:pStyle w:val="NormalWeb"/>
        <w:spacing w:before="0" w:beforeAutospacing="0" w:after="0" w:afterAutospacing="0"/>
        <w:contextualSpacing/>
        <w:jc w:val="both"/>
        <w:rPr>
          <w:sz w:val="20"/>
          <w:szCs w:val="20"/>
        </w:rPr>
      </w:pPr>
    </w:p>
    <w:p w14:paraId="6D1F9FEF" w14:textId="5673A7D7" w:rsidR="00BA6BBD" w:rsidRPr="00D919C5" w:rsidRDefault="00783B28" w:rsidP="00783B28">
      <w:pPr>
        <w:pStyle w:val="NormalWeb"/>
        <w:spacing w:before="0" w:beforeAutospacing="0" w:after="0" w:afterAutospacing="0"/>
        <w:contextualSpacing/>
        <w:jc w:val="both"/>
      </w:pPr>
      <w:r w:rsidRPr="00D919C5">
        <w:rPr>
          <w:sz w:val="20"/>
          <w:szCs w:val="20"/>
        </w:rPr>
        <w:t>As in literatur</w:t>
      </w:r>
      <w:r w:rsidR="00950CED" w:rsidRPr="00D919C5">
        <w:rPr>
          <w:sz w:val="20"/>
          <w:szCs w:val="20"/>
        </w:rPr>
        <w:t>e</w:t>
      </w:r>
      <w:r w:rsidRPr="00D919C5">
        <w:rPr>
          <w:sz w:val="20"/>
          <w:szCs w:val="20"/>
        </w:rPr>
        <w:t xml:space="preserve">, this study shows consistent and inconsistent results in several studies variables with previous research. This shows the complexity of the burnout phenomenon and its potential causes, particularly among driver, require further investigation. Therefore, further studies are needed with different designs and a larger number of samples in order to find out more about the factors that influence mental workload with burnout on driver. </w:t>
      </w:r>
      <w:r w:rsidR="00BA6BBD" w:rsidRPr="00D919C5">
        <w:rPr>
          <w:color w:val="0E101A"/>
          <w:sz w:val="20"/>
          <w:szCs w:val="20"/>
        </w:rPr>
        <w:t>The relevant authorities must also provide solutions to suit their environmental, management, and personnel requirements. </w:t>
      </w:r>
    </w:p>
    <w:p w14:paraId="1CA8D7E4" w14:textId="77777777" w:rsidR="00CE6C7A" w:rsidRPr="00D919C5" w:rsidRDefault="00CE6C7A" w:rsidP="009603E5">
      <w:pPr>
        <w:pStyle w:val="AuthorAffiliation"/>
        <w:contextualSpacing/>
        <w:jc w:val="both"/>
        <w:rPr>
          <w:i w:val="0"/>
          <w:iCs/>
        </w:rPr>
      </w:pPr>
    </w:p>
    <w:p w14:paraId="5F9BA5F2" w14:textId="77777777" w:rsidR="0011230B" w:rsidRPr="00D919C5" w:rsidRDefault="001F4B8F" w:rsidP="00320A46">
      <w:pPr>
        <w:pStyle w:val="AuthorAffiliation"/>
        <w:jc w:val="left"/>
        <w:rPr>
          <w:i w:val="0"/>
          <w:iCs/>
          <w:sz w:val="18"/>
          <w:szCs w:val="18"/>
        </w:rPr>
      </w:pPr>
      <w:r w:rsidRPr="00D919C5">
        <w:rPr>
          <w:i w:val="0"/>
          <w:iCs/>
          <w:sz w:val="18"/>
          <w:szCs w:val="18"/>
        </w:rPr>
        <w:lastRenderedPageBreak/>
        <w:t>ACKNOWLEDMENTS</w:t>
      </w:r>
      <w:r w:rsidRPr="00D919C5">
        <w:rPr>
          <w:i w:val="0"/>
          <w:iCs/>
          <w:sz w:val="18"/>
          <w:szCs w:val="18"/>
        </w:rPr>
        <w:br/>
      </w:r>
    </w:p>
    <w:p w14:paraId="093A51D5" w14:textId="6C7B0ADA" w:rsidR="0011230B" w:rsidRPr="00D919C5" w:rsidRDefault="0011230B" w:rsidP="0011230B">
      <w:pPr>
        <w:contextualSpacing/>
        <w:jc w:val="both"/>
        <w:rPr>
          <w:sz w:val="20"/>
          <w:szCs w:val="20"/>
        </w:rPr>
      </w:pPr>
      <w:r w:rsidRPr="00D919C5">
        <w:rPr>
          <w:sz w:val="20"/>
          <w:szCs w:val="20"/>
        </w:rPr>
        <w:t xml:space="preserve">The researcher expresses deepest gratitude to the drivers, and all other staff from Oil and Gas Companies X. They have helped a lot in obtaining the necessary research data. </w:t>
      </w:r>
    </w:p>
    <w:p w14:paraId="16A157EC" w14:textId="317138C5" w:rsidR="001F4B8F" w:rsidRPr="00D919C5" w:rsidRDefault="001F4B8F" w:rsidP="00320A46">
      <w:pPr>
        <w:pStyle w:val="AuthorAffiliation"/>
        <w:jc w:val="left"/>
        <w:rPr>
          <w:i w:val="0"/>
          <w:iCs/>
          <w:sz w:val="18"/>
          <w:szCs w:val="18"/>
        </w:rPr>
      </w:pPr>
      <w:r w:rsidRPr="00D919C5">
        <w:rPr>
          <w:i w:val="0"/>
          <w:iCs/>
          <w:sz w:val="18"/>
          <w:szCs w:val="18"/>
        </w:rPr>
        <w:br/>
        <w:t>REFERENCES</w:t>
      </w:r>
    </w:p>
    <w:p w14:paraId="3FE35E37" w14:textId="10A23642" w:rsidR="00783B28" w:rsidRPr="00D919C5" w:rsidRDefault="00783B28" w:rsidP="00320A46">
      <w:pPr>
        <w:pStyle w:val="AuthorAffiliation"/>
        <w:jc w:val="left"/>
        <w:rPr>
          <w:i w:val="0"/>
          <w:iCs/>
          <w:sz w:val="18"/>
          <w:szCs w:val="18"/>
        </w:rPr>
      </w:pPr>
    </w:p>
    <w:p w14:paraId="51E0294F" w14:textId="77777777" w:rsidR="00E36B33" w:rsidRPr="00D919C5" w:rsidRDefault="00E36B33" w:rsidP="00A9531F">
      <w:pPr>
        <w:jc w:val="both"/>
        <w:rPr>
          <w:sz w:val="20"/>
          <w:szCs w:val="20"/>
        </w:rPr>
      </w:pPr>
      <w:r w:rsidRPr="00D919C5">
        <w:rPr>
          <w:sz w:val="20"/>
          <w:szCs w:val="20"/>
        </w:rPr>
        <w:t xml:space="preserve">Bennett JA. </w:t>
      </w:r>
      <w:r w:rsidRPr="00D919C5">
        <w:rPr>
          <w:i/>
          <w:iCs/>
          <w:sz w:val="20"/>
          <w:szCs w:val="20"/>
        </w:rPr>
        <w:t>Mediator and moderator variables in nursing research: conceptual and statistical differences</w:t>
      </w:r>
      <w:r w:rsidRPr="00D919C5">
        <w:rPr>
          <w:sz w:val="20"/>
          <w:szCs w:val="20"/>
        </w:rPr>
        <w:t xml:space="preserve">. Res </w:t>
      </w:r>
      <w:proofErr w:type="spellStart"/>
      <w:r w:rsidRPr="00D919C5">
        <w:rPr>
          <w:sz w:val="20"/>
          <w:szCs w:val="20"/>
        </w:rPr>
        <w:t>Nurs</w:t>
      </w:r>
      <w:proofErr w:type="spellEnd"/>
      <w:r w:rsidRPr="00D919C5">
        <w:rPr>
          <w:sz w:val="20"/>
          <w:szCs w:val="20"/>
        </w:rPr>
        <w:t xml:space="preserve"> Health. 2000 Oct;23(5):415-20. PMID: 11052395.</w:t>
      </w:r>
    </w:p>
    <w:p w14:paraId="1F9DA1AE" w14:textId="77777777" w:rsidR="00E36B33" w:rsidRPr="00D919C5" w:rsidRDefault="00E36B33" w:rsidP="00A9531F">
      <w:pPr>
        <w:jc w:val="both"/>
        <w:rPr>
          <w:sz w:val="20"/>
          <w:szCs w:val="20"/>
        </w:rPr>
      </w:pPr>
      <w:r w:rsidRPr="00D919C5">
        <w:rPr>
          <w:sz w:val="20"/>
          <w:szCs w:val="20"/>
        </w:rPr>
        <w:t xml:space="preserve">Hancock, P. A., &amp; </w:t>
      </w:r>
      <w:proofErr w:type="spellStart"/>
      <w:r w:rsidRPr="00D919C5">
        <w:rPr>
          <w:sz w:val="20"/>
          <w:szCs w:val="20"/>
        </w:rPr>
        <w:t>Meshkati</w:t>
      </w:r>
      <w:proofErr w:type="spellEnd"/>
      <w:r w:rsidRPr="00D919C5">
        <w:rPr>
          <w:sz w:val="20"/>
          <w:szCs w:val="20"/>
        </w:rPr>
        <w:t>, N. (Eds.). (1988). </w:t>
      </w:r>
      <w:r w:rsidRPr="00D919C5">
        <w:rPr>
          <w:i/>
          <w:iCs/>
          <w:sz w:val="20"/>
          <w:szCs w:val="20"/>
        </w:rPr>
        <w:t>Human mental workload</w:t>
      </w:r>
      <w:r w:rsidRPr="00D919C5">
        <w:rPr>
          <w:sz w:val="20"/>
          <w:szCs w:val="20"/>
        </w:rPr>
        <w:t>. North-Holland.</w:t>
      </w:r>
    </w:p>
    <w:p w14:paraId="4F783EF3" w14:textId="748D14D4" w:rsidR="005F083A" w:rsidRPr="00D919C5" w:rsidRDefault="005F083A" w:rsidP="005F083A">
      <w:pPr>
        <w:jc w:val="both"/>
        <w:rPr>
          <w:sz w:val="20"/>
          <w:szCs w:val="20"/>
        </w:rPr>
      </w:pPr>
      <w:r w:rsidRPr="00D919C5">
        <w:rPr>
          <w:sz w:val="20"/>
          <w:szCs w:val="20"/>
        </w:rPr>
        <w:t xml:space="preserve">Hart, S.G. and </w:t>
      </w:r>
      <w:proofErr w:type="spellStart"/>
      <w:r w:rsidRPr="00D919C5">
        <w:rPr>
          <w:sz w:val="20"/>
          <w:szCs w:val="20"/>
        </w:rPr>
        <w:t>Staveland</w:t>
      </w:r>
      <w:proofErr w:type="spellEnd"/>
      <w:r w:rsidRPr="00D919C5">
        <w:rPr>
          <w:sz w:val="20"/>
          <w:szCs w:val="20"/>
        </w:rPr>
        <w:t>, L.E. (1988) Development of NASA-TLX (Task Load Index): Results of Empirical and Theoretical Research. Advances in Psychology, 52, 139-183.</w:t>
      </w:r>
      <w:r w:rsidRPr="00D919C5">
        <w:rPr>
          <w:sz w:val="20"/>
          <w:szCs w:val="20"/>
        </w:rPr>
        <w:br/>
        <w:t>http://dx.doi.org/10.1016/S0166-4115(08)62386-9.</w:t>
      </w:r>
    </w:p>
    <w:p w14:paraId="7D504BDA" w14:textId="351DB367" w:rsidR="00E36B33" w:rsidRPr="00D919C5" w:rsidRDefault="00E36B33" w:rsidP="00A9531F">
      <w:pPr>
        <w:pStyle w:val="NormalWeb"/>
        <w:spacing w:before="0" w:beforeAutospacing="0" w:after="0" w:afterAutospacing="0"/>
        <w:contextualSpacing/>
        <w:jc w:val="both"/>
        <w:rPr>
          <w:sz w:val="20"/>
          <w:szCs w:val="20"/>
        </w:rPr>
      </w:pPr>
      <w:proofErr w:type="spellStart"/>
      <w:r w:rsidRPr="00D919C5">
        <w:rPr>
          <w:sz w:val="20"/>
          <w:szCs w:val="20"/>
        </w:rPr>
        <w:t>Khandan</w:t>
      </w:r>
      <w:proofErr w:type="spellEnd"/>
      <w:r w:rsidRPr="00D919C5">
        <w:rPr>
          <w:sz w:val="20"/>
          <w:szCs w:val="20"/>
        </w:rPr>
        <w:t xml:space="preserve"> M. </w:t>
      </w:r>
      <w:r w:rsidRPr="00D919C5">
        <w:rPr>
          <w:i/>
          <w:iCs/>
          <w:sz w:val="20"/>
          <w:szCs w:val="20"/>
        </w:rPr>
        <w:t>Level of Workload and Its Relationship with Job Burnout among Administrative Staff</w:t>
      </w:r>
      <w:r w:rsidRPr="00D919C5">
        <w:rPr>
          <w:sz w:val="20"/>
          <w:szCs w:val="20"/>
        </w:rPr>
        <w:t xml:space="preserve">. Int J </w:t>
      </w:r>
      <w:proofErr w:type="spellStart"/>
      <w:r w:rsidRPr="00D919C5">
        <w:rPr>
          <w:sz w:val="20"/>
          <w:szCs w:val="20"/>
        </w:rPr>
        <w:t>Occup</w:t>
      </w:r>
      <w:proofErr w:type="spellEnd"/>
      <w:r w:rsidRPr="00D919C5">
        <w:rPr>
          <w:sz w:val="20"/>
          <w:szCs w:val="20"/>
        </w:rPr>
        <w:t xml:space="preserve"> </w:t>
      </w:r>
      <w:proofErr w:type="spellStart"/>
      <w:r w:rsidRPr="00D919C5">
        <w:rPr>
          <w:sz w:val="20"/>
          <w:szCs w:val="20"/>
        </w:rPr>
        <w:t>Hyg</w:t>
      </w:r>
      <w:proofErr w:type="spellEnd"/>
      <w:r w:rsidRPr="00D919C5">
        <w:rPr>
          <w:sz w:val="20"/>
          <w:szCs w:val="20"/>
        </w:rPr>
        <w:t xml:space="preserve">. 2015;7(2):53–60. </w:t>
      </w:r>
    </w:p>
    <w:p w14:paraId="7ED16F8C" w14:textId="77777777" w:rsidR="00E36B33" w:rsidRPr="00D919C5" w:rsidRDefault="00E36B33" w:rsidP="00E36B33">
      <w:pPr>
        <w:jc w:val="both"/>
        <w:rPr>
          <w:sz w:val="20"/>
          <w:szCs w:val="20"/>
        </w:rPr>
      </w:pPr>
      <w:r w:rsidRPr="00D919C5">
        <w:rPr>
          <w:sz w:val="20"/>
          <w:szCs w:val="20"/>
        </w:rPr>
        <w:t xml:space="preserve">Lambert, Eric &amp; Hogan, Nancy &amp; </w:t>
      </w:r>
      <w:proofErr w:type="spellStart"/>
      <w:r w:rsidRPr="00D919C5">
        <w:rPr>
          <w:sz w:val="20"/>
          <w:szCs w:val="20"/>
        </w:rPr>
        <w:t>Paoline</w:t>
      </w:r>
      <w:proofErr w:type="spellEnd"/>
      <w:r w:rsidRPr="00D919C5">
        <w:rPr>
          <w:sz w:val="20"/>
          <w:szCs w:val="20"/>
        </w:rPr>
        <w:t xml:space="preserve">, III, Eugene &amp; Baker, David. (2005). </w:t>
      </w:r>
      <w:r w:rsidRPr="00D919C5">
        <w:rPr>
          <w:i/>
          <w:iCs/>
          <w:sz w:val="20"/>
          <w:szCs w:val="20"/>
        </w:rPr>
        <w:t>The good life: The impact of job satisfaction and occupational stressors on correctional staff life satisfaction-An exploratory study</w:t>
      </w:r>
      <w:r w:rsidRPr="00D919C5">
        <w:rPr>
          <w:sz w:val="20"/>
          <w:szCs w:val="20"/>
        </w:rPr>
        <w:t>. Journal of Crime and Justice. 28. 10.1080/0735648X.2005.9721636.</w:t>
      </w:r>
    </w:p>
    <w:p w14:paraId="0C7ADA84" w14:textId="73359649" w:rsidR="00E36B33" w:rsidRPr="00D919C5" w:rsidRDefault="00E36B33" w:rsidP="00E36B33">
      <w:pPr>
        <w:jc w:val="both"/>
        <w:rPr>
          <w:sz w:val="20"/>
          <w:szCs w:val="20"/>
        </w:rPr>
      </w:pPr>
      <w:r w:rsidRPr="00D919C5">
        <w:rPr>
          <w:sz w:val="20"/>
          <w:szCs w:val="20"/>
        </w:rPr>
        <w:t xml:space="preserve">Maslach, C. and Leiter, M.P. (2005). </w:t>
      </w:r>
      <w:r w:rsidRPr="00D919C5">
        <w:rPr>
          <w:i/>
          <w:iCs/>
          <w:sz w:val="20"/>
          <w:szCs w:val="20"/>
        </w:rPr>
        <w:t>Stress and Burnout: The Critical Research</w:t>
      </w:r>
      <w:r w:rsidRPr="00D919C5">
        <w:rPr>
          <w:sz w:val="20"/>
          <w:szCs w:val="20"/>
        </w:rPr>
        <w:t>. In: Cooper, C.L., Ed., Handbook of Stress Medicine and Health, 2nd Edition, CRC Press, London, 153-170.</w:t>
      </w:r>
    </w:p>
    <w:p w14:paraId="17D33A1A" w14:textId="5EDA79E9" w:rsidR="00D919C5" w:rsidRPr="00D919C5" w:rsidRDefault="00D919C5" w:rsidP="00D919C5">
      <w:pPr>
        <w:jc w:val="both"/>
        <w:rPr>
          <w:sz w:val="20"/>
          <w:szCs w:val="20"/>
        </w:rPr>
      </w:pPr>
      <w:r w:rsidRPr="00D919C5">
        <w:rPr>
          <w:sz w:val="20"/>
          <w:szCs w:val="20"/>
        </w:rPr>
        <w:t xml:space="preserve">Maslach, C., Jackson, S. E., &amp; Leiter, M. P. (1996). </w:t>
      </w:r>
      <w:r w:rsidRPr="00D919C5">
        <w:rPr>
          <w:i/>
          <w:iCs/>
          <w:sz w:val="20"/>
          <w:szCs w:val="20"/>
        </w:rPr>
        <w:t>Maslach Burnout Inventory Manual (3rd ed.)</w:t>
      </w:r>
      <w:r w:rsidRPr="00D919C5">
        <w:rPr>
          <w:sz w:val="20"/>
          <w:szCs w:val="20"/>
        </w:rPr>
        <w:t>. Mountain View, CA: CPP, Inc.</w:t>
      </w:r>
    </w:p>
    <w:p w14:paraId="017F7EBC" w14:textId="77777777" w:rsidR="00D919C5" w:rsidRPr="00D919C5" w:rsidRDefault="00E36B33" w:rsidP="00D919C5">
      <w:pPr>
        <w:pStyle w:val="NormalWeb"/>
        <w:spacing w:before="0" w:beforeAutospacing="0" w:after="0" w:afterAutospacing="0"/>
        <w:contextualSpacing/>
        <w:jc w:val="both"/>
        <w:rPr>
          <w:sz w:val="20"/>
          <w:szCs w:val="20"/>
        </w:rPr>
      </w:pPr>
      <w:r w:rsidRPr="00D919C5">
        <w:rPr>
          <w:sz w:val="20"/>
          <w:szCs w:val="20"/>
        </w:rPr>
        <w:t xml:space="preserve">Matthews G, Desmond PA. 1998. </w:t>
      </w:r>
      <w:r w:rsidRPr="00D919C5">
        <w:rPr>
          <w:i/>
          <w:iCs/>
          <w:sz w:val="20"/>
          <w:szCs w:val="20"/>
        </w:rPr>
        <w:t>Personality and multiple dimensions of task induced fatigue: a study of simulated driving.</w:t>
      </w:r>
      <w:r w:rsidRPr="00D919C5">
        <w:rPr>
          <w:sz w:val="20"/>
          <w:szCs w:val="20"/>
        </w:rPr>
        <w:t xml:space="preserve"> Pers. Ind. Diff. 25:443–58.</w:t>
      </w:r>
    </w:p>
    <w:p w14:paraId="5B4E56CE" w14:textId="77777777" w:rsidR="00D919C5" w:rsidRPr="00D919C5" w:rsidRDefault="00D919C5" w:rsidP="00D919C5">
      <w:pPr>
        <w:pStyle w:val="NormalWeb"/>
        <w:spacing w:before="0" w:beforeAutospacing="0" w:after="0" w:afterAutospacing="0"/>
        <w:contextualSpacing/>
        <w:jc w:val="both"/>
        <w:rPr>
          <w:sz w:val="20"/>
          <w:szCs w:val="20"/>
        </w:rPr>
      </w:pPr>
    </w:p>
    <w:p w14:paraId="2A5909F7" w14:textId="77777777" w:rsidR="00D919C5" w:rsidRPr="00D919C5" w:rsidRDefault="00D919C5" w:rsidP="00D919C5">
      <w:pPr>
        <w:pStyle w:val="NormalWeb"/>
        <w:spacing w:before="0" w:beforeAutospacing="0" w:after="0" w:afterAutospacing="0"/>
        <w:contextualSpacing/>
        <w:jc w:val="both"/>
        <w:rPr>
          <w:sz w:val="20"/>
          <w:szCs w:val="20"/>
        </w:rPr>
      </w:pPr>
    </w:p>
    <w:p w14:paraId="11D5382B" w14:textId="77777777" w:rsidR="00D919C5" w:rsidRPr="00D919C5" w:rsidRDefault="00D919C5" w:rsidP="00D919C5">
      <w:pPr>
        <w:pStyle w:val="NormalWeb"/>
        <w:spacing w:before="0" w:beforeAutospacing="0" w:after="0" w:afterAutospacing="0"/>
        <w:contextualSpacing/>
        <w:jc w:val="both"/>
        <w:rPr>
          <w:sz w:val="20"/>
          <w:szCs w:val="20"/>
        </w:rPr>
      </w:pPr>
    </w:p>
    <w:p w14:paraId="7BBCB452" w14:textId="77777777" w:rsidR="00D919C5" w:rsidRPr="00D919C5" w:rsidRDefault="00D919C5" w:rsidP="00D919C5">
      <w:pPr>
        <w:pStyle w:val="NormalWeb"/>
        <w:spacing w:before="0" w:beforeAutospacing="0" w:after="0" w:afterAutospacing="0"/>
        <w:contextualSpacing/>
        <w:jc w:val="both"/>
        <w:rPr>
          <w:sz w:val="20"/>
          <w:szCs w:val="20"/>
        </w:rPr>
      </w:pPr>
    </w:p>
    <w:p w14:paraId="75435DAD" w14:textId="77777777" w:rsidR="00D919C5" w:rsidRPr="00D919C5" w:rsidRDefault="00D919C5" w:rsidP="00D919C5">
      <w:pPr>
        <w:pStyle w:val="NormalWeb"/>
        <w:spacing w:before="0" w:beforeAutospacing="0" w:after="0" w:afterAutospacing="0"/>
        <w:contextualSpacing/>
        <w:jc w:val="both"/>
        <w:rPr>
          <w:sz w:val="20"/>
          <w:szCs w:val="20"/>
        </w:rPr>
      </w:pPr>
    </w:p>
    <w:p w14:paraId="6FB18542" w14:textId="77777777" w:rsidR="00D919C5" w:rsidRPr="00D919C5" w:rsidRDefault="00D919C5" w:rsidP="00D919C5">
      <w:pPr>
        <w:pStyle w:val="NormalWeb"/>
        <w:spacing w:before="0" w:beforeAutospacing="0" w:after="0" w:afterAutospacing="0"/>
        <w:contextualSpacing/>
        <w:jc w:val="both"/>
        <w:rPr>
          <w:sz w:val="20"/>
          <w:szCs w:val="20"/>
        </w:rPr>
      </w:pPr>
    </w:p>
    <w:p w14:paraId="528D3187" w14:textId="77777777" w:rsidR="00D919C5" w:rsidRPr="00D919C5" w:rsidRDefault="00D919C5" w:rsidP="00D919C5">
      <w:pPr>
        <w:pStyle w:val="NormalWeb"/>
        <w:spacing w:before="0" w:beforeAutospacing="0" w:after="0" w:afterAutospacing="0"/>
        <w:contextualSpacing/>
        <w:jc w:val="both"/>
        <w:rPr>
          <w:sz w:val="20"/>
          <w:szCs w:val="20"/>
        </w:rPr>
      </w:pPr>
    </w:p>
    <w:p w14:paraId="7BE01085" w14:textId="77777777" w:rsidR="00D919C5" w:rsidRPr="00D919C5" w:rsidRDefault="00D919C5" w:rsidP="00D919C5">
      <w:pPr>
        <w:pStyle w:val="NormalWeb"/>
        <w:spacing w:before="0" w:beforeAutospacing="0" w:after="0" w:afterAutospacing="0"/>
        <w:contextualSpacing/>
        <w:jc w:val="both"/>
        <w:rPr>
          <w:sz w:val="20"/>
          <w:szCs w:val="20"/>
        </w:rPr>
      </w:pPr>
    </w:p>
    <w:p w14:paraId="78C01F21" w14:textId="77777777" w:rsidR="00D919C5" w:rsidRPr="00D919C5" w:rsidRDefault="00D919C5" w:rsidP="00D919C5">
      <w:pPr>
        <w:pStyle w:val="NormalWeb"/>
        <w:spacing w:before="0" w:beforeAutospacing="0" w:after="0" w:afterAutospacing="0"/>
        <w:contextualSpacing/>
        <w:jc w:val="both"/>
        <w:rPr>
          <w:sz w:val="20"/>
          <w:szCs w:val="20"/>
        </w:rPr>
      </w:pPr>
    </w:p>
    <w:p w14:paraId="62F27718" w14:textId="77777777" w:rsidR="00D919C5" w:rsidRPr="00D919C5" w:rsidRDefault="00D919C5" w:rsidP="00D919C5">
      <w:pPr>
        <w:pStyle w:val="NormalWeb"/>
        <w:spacing w:before="0" w:beforeAutospacing="0" w:after="0" w:afterAutospacing="0"/>
        <w:contextualSpacing/>
        <w:jc w:val="both"/>
        <w:rPr>
          <w:sz w:val="20"/>
          <w:szCs w:val="20"/>
        </w:rPr>
      </w:pPr>
    </w:p>
    <w:p w14:paraId="5D058FD3" w14:textId="77777777" w:rsidR="00D919C5" w:rsidRPr="00D919C5" w:rsidRDefault="00D919C5" w:rsidP="00D919C5">
      <w:pPr>
        <w:pStyle w:val="NormalWeb"/>
        <w:spacing w:before="0" w:beforeAutospacing="0" w:after="0" w:afterAutospacing="0"/>
        <w:contextualSpacing/>
        <w:jc w:val="both"/>
        <w:rPr>
          <w:sz w:val="20"/>
          <w:szCs w:val="20"/>
        </w:rPr>
      </w:pPr>
    </w:p>
    <w:p w14:paraId="6CF5A52E" w14:textId="77777777" w:rsidR="00D919C5" w:rsidRPr="00D919C5" w:rsidRDefault="00D919C5" w:rsidP="00D919C5">
      <w:pPr>
        <w:pStyle w:val="NormalWeb"/>
        <w:spacing w:before="0" w:beforeAutospacing="0" w:after="0" w:afterAutospacing="0"/>
        <w:contextualSpacing/>
        <w:jc w:val="both"/>
        <w:rPr>
          <w:sz w:val="20"/>
          <w:szCs w:val="20"/>
        </w:rPr>
      </w:pPr>
    </w:p>
    <w:p w14:paraId="64706C1A" w14:textId="77777777" w:rsidR="00D919C5" w:rsidRPr="00D919C5" w:rsidRDefault="00D919C5" w:rsidP="00D919C5">
      <w:pPr>
        <w:pStyle w:val="NormalWeb"/>
        <w:spacing w:before="0" w:beforeAutospacing="0" w:after="0" w:afterAutospacing="0"/>
        <w:contextualSpacing/>
        <w:jc w:val="both"/>
        <w:rPr>
          <w:sz w:val="20"/>
          <w:szCs w:val="20"/>
        </w:rPr>
      </w:pPr>
    </w:p>
    <w:p w14:paraId="6078E3CC" w14:textId="77777777" w:rsidR="00D919C5" w:rsidRPr="00D919C5" w:rsidRDefault="00D919C5" w:rsidP="00D919C5">
      <w:pPr>
        <w:pStyle w:val="NormalWeb"/>
        <w:spacing w:before="0" w:beforeAutospacing="0" w:after="0" w:afterAutospacing="0"/>
        <w:contextualSpacing/>
        <w:jc w:val="both"/>
        <w:rPr>
          <w:sz w:val="20"/>
          <w:szCs w:val="20"/>
        </w:rPr>
      </w:pPr>
    </w:p>
    <w:p w14:paraId="48FB2332" w14:textId="77777777" w:rsidR="00D919C5" w:rsidRPr="00D919C5" w:rsidRDefault="00D919C5" w:rsidP="00D919C5">
      <w:pPr>
        <w:pStyle w:val="NormalWeb"/>
        <w:spacing w:before="0" w:beforeAutospacing="0" w:after="0" w:afterAutospacing="0"/>
        <w:contextualSpacing/>
        <w:jc w:val="both"/>
        <w:rPr>
          <w:sz w:val="20"/>
          <w:szCs w:val="20"/>
        </w:rPr>
      </w:pPr>
    </w:p>
    <w:p w14:paraId="57A83E43" w14:textId="77777777" w:rsidR="00D919C5" w:rsidRPr="00D919C5" w:rsidRDefault="00D919C5" w:rsidP="00D919C5">
      <w:pPr>
        <w:pStyle w:val="NormalWeb"/>
        <w:spacing w:before="0" w:beforeAutospacing="0" w:after="0" w:afterAutospacing="0"/>
        <w:contextualSpacing/>
        <w:jc w:val="both"/>
        <w:rPr>
          <w:sz w:val="20"/>
          <w:szCs w:val="20"/>
        </w:rPr>
      </w:pPr>
    </w:p>
    <w:p w14:paraId="247CC87A" w14:textId="77777777" w:rsidR="00D919C5" w:rsidRPr="00D919C5" w:rsidRDefault="00D919C5" w:rsidP="00D919C5">
      <w:pPr>
        <w:pStyle w:val="NormalWeb"/>
        <w:spacing w:before="0" w:beforeAutospacing="0" w:after="0" w:afterAutospacing="0"/>
        <w:contextualSpacing/>
        <w:jc w:val="both"/>
        <w:rPr>
          <w:sz w:val="20"/>
          <w:szCs w:val="20"/>
        </w:rPr>
      </w:pPr>
    </w:p>
    <w:p w14:paraId="10C7A750" w14:textId="77777777" w:rsidR="00D919C5" w:rsidRPr="00D919C5" w:rsidRDefault="00D919C5" w:rsidP="00D919C5">
      <w:pPr>
        <w:pStyle w:val="NormalWeb"/>
        <w:spacing w:before="0" w:beforeAutospacing="0" w:after="0" w:afterAutospacing="0"/>
        <w:contextualSpacing/>
        <w:jc w:val="both"/>
        <w:rPr>
          <w:sz w:val="20"/>
          <w:szCs w:val="20"/>
        </w:rPr>
      </w:pPr>
    </w:p>
    <w:p w14:paraId="4A9F7F49" w14:textId="77777777" w:rsidR="00D919C5" w:rsidRPr="00D919C5" w:rsidRDefault="00D919C5" w:rsidP="00D919C5">
      <w:pPr>
        <w:pStyle w:val="NormalWeb"/>
        <w:spacing w:before="0" w:beforeAutospacing="0" w:after="0" w:afterAutospacing="0"/>
        <w:contextualSpacing/>
        <w:jc w:val="both"/>
        <w:rPr>
          <w:sz w:val="20"/>
          <w:szCs w:val="20"/>
        </w:rPr>
      </w:pPr>
    </w:p>
    <w:p w14:paraId="14486DA1" w14:textId="77777777" w:rsidR="00D919C5" w:rsidRPr="00D919C5" w:rsidRDefault="00D919C5" w:rsidP="00D919C5">
      <w:pPr>
        <w:pStyle w:val="NormalWeb"/>
        <w:spacing w:before="0" w:beforeAutospacing="0" w:after="0" w:afterAutospacing="0"/>
        <w:contextualSpacing/>
        <w:jc w:val="both"/>
        <w:rPr>
          <w:sz w:val="20"/>
          <w:szCs w:val="20"/>
        </w:rPr>
      </w:pPr>
    </w:p>
    <w:p w14:paraId="2AC76889" w14:textId="77777777" w:rsidR="00D919C5" w:rsidRPr="00D919C5" w:rsidRDefault="00D919C5" w:rsidP="00D919C5">
      <w:pPr>
        <w:pStyle w:val="NormalWeb"/>
        <w:spacing w:before="0" w:beforeAutospacing="0" w:after="0" w:afterAutospacing="0"/>
        <w:contextualSpacing/>
        <w:jc w:val="both"/>
        <w:rPr>
          <w:sz w:val="20"/>
          <w:szCs w:val="20"/>
        </w:rPr>
      </w:pPr>
    </w:p>
    <w:p w14:paraId="5142547F" w14:textId="77777777" w:rsidR="00D919C5" w:rsidRPr="00D919C5" w:rsidRDefault="00D919C5" w:rsidP="00D919C5">
      <w:pPr>
        <w:pStyle w:val="NormalWeb"/>
        <w:spacing w:before="0" w:beforeAutospacing="0" w:after="0" w:afterAutospacing="0"/>
        <w:contextualSpacing/>
        <w:jc w:val="both"/>
        <w:rPr>
          <w:sz w:val="20"/>
          <w:szCs w:val="20"/>
        </w:rPr>
      </w:pPr>
    </w:p>
    <w:p w14:paraId="25DCD01C" w14:textId="77777777" w:rsidR="00D919C5" w:rsidRPr="00D919C5" w:rsidRDefault="00D919C5" w:rsidP="00D919C5">
      <w:pPr>
        <w:pStyle w:val="NormalWeb"/>
        <w:spacing w:before="0" w:beforeAutospacing="0" w:after="0" w:afterAutospacing="0"/>
        <w:contextualSpacing/>
        <w:jc w:val="both"/>
        <w:rPr>
          <w:sz w:val="20"/>
          <w:szCs w:val="20"/>
        </w:rPr>
      </w:pPr>
    </w:p>
    <w:p w14:paraId="65C28A1C" w14:textId="77777777" w:rsidR="00D919C5" w:rsidRPr="00D919C5" w:rsidRDefault="00D919C5" w:rsidP="00D919C5">
      <w:pPr>
        <w:pStyle w:val="NormalWeb"/>
        <w:spacing w:before="0" w:beforeAutospacing="0" w:after="0" w:afterAutospacing="0"/>
        <w:contextualSpacing/>
        <w:jc w:val="both"/>
        <w:rPr>
          <w:sz w:val="20"/>
          <w:szCs w:val="20"/>
        </w:rPr>
      </w:pPr>
    </w:p>
    <w:p w14:paraId="73E637EA" w14:textId="77777777" w:rsidR="00D919C5" w:rsidRPr="00D919C5" w:rsidRDefault="00D919C5" w:rsidP="00D919C5">
      <w:pPr>
        <w:pStyle w:val="NormalWeb"/>
        <w:spacing w:before="0" w:beforeAutospacing="0" w:after="0" w:afterAutospacing="0"/>
        <w:contextualSpacing/>
        <w:jc w:val="both"/>
        <w:rPr>
          <w:sz w:val="20"/>
          <w:szCs w:val="20"/>
        </w:rPr>
      </w:pPr>
    </w:p>
    <w:p w14:paraId="1B455E32" w14:textId="77777777" w:rsidR="00D919C5" w:rsidRPr="00D919C5" w:rsidRDefault="00D919C5" w:rsidP="00D919C5">
      <w:pPr>
        <w:pStyle w:val="NormalWeb"/>
        <w:spacing w:before="0" w:beforeAutospacing="0" w:after="0" w:afterAutospacing="0"/>
        <w:contextualSpacing/>
        <w:jc w:val="both"/>
        <w:rPr>
          <w:sz w:val="20"/>
          <w:szCs w:val="20"/>
        </w:rPr>
      </w:pPr>
    </w:p>
    <w:p w14:paraId="372FEB9D" w14:textId="77777777" w:rsidR="00D919C5" w:rsidRPr="00D919C5" w:rsidRDefault="00D919C5" w:rsidP="00D919C5">
      <w:pPr>
        <w:pStyle w:val="NormalWeb"/>
        <w:spacing w:before="0" w:beforeAutospacing="0" w:after="0" w:afterAutospacing="0"/>
        <w:contextualSpacing/>
        <w:jc w:val="both"/>
        <w:rPr>
          <w:sz w:val="20"/>
          <w:szCs w:val="20"/>
        </w:rPr>
      </w:pPr>
    </w:p>
    <w:p w14:paraId="694D9454" w14:textId="77777777" w:rsidR="00D919C5" w:rsidRPr="00D919C5" w:rsidRDefault="00D919C5" w:rsidP="00D919C5">
      <w:pPr>
        <w:pStyle w:val="NormalWeb"/>
        <w:spacing w:before="0" w:beforeAutospacing="0" w:after="0" w:afterAutospacing="0"/>
        <w:contextualSpacing/>
        <w:jc w:val="both"/>
        <w:rPr>
          <w:sz w:val="20"/>
          <w:szCs w:val="20"/>
        </w:rPr>
      </w:pPr>
    </w:p>
    <w:p w14:paraId="1BB4E6C2" w14:textId="77777777" w:rsidR="00D919C5" w:rsidRPr="00D919C5" w:rsidRDefault="00D919C5" w:rsidP="00D919C5">
      <w:pPr>
        <w:pStyle w:val="NormalWeb"/>
        <w:spacing w:before="0" w:beforeAutospacing="0" w:after="0" w:afterAutospacing="0"/>
        <w:contextualSpacing/>
        <w:jc w:val="both"/>
        <w:rPr>
          <w:sz w:val="20"/>
          <w:szCs w:val="20"/>
        </w:rPr>
      </w:pPr>
    </w:p>
    <w:p w14:paraId="50A4FC15" w14:textId="60403EC5" w:rsidR="00D919C5" w:rsidRPr="00D919C5" w:rsidRDefault="00D919C5" w:rsidP="00D919C5">
      <w:pPr>
        <w:pStyle w:val="NormalWeb"/>
        <w:spacing w:before="0" w:beforeAutospacing="0" w:after="0" w:afterAutospacing="0"/>
        <w:contextualSpacing/>
        <w:jc w:val="both"/>
        <w:rPr>
          <w:sz w:val="20"/>
          <w:szCs w:val="20"/>
        </w:rPr>
      </w:pPr>
      <w:r w:rsidRPr="00D919C5">
        <w:rPr>
          <w:sz w:val="20"/>
          <w:szCs w:val="20"/>
        </w:rPr>
        <w:t xml:space="preserve">Mohammadi M, </w:t>
      </w:r>
      <w:proofErr w:type="spellStart"/>
      <w:r w:rsidRPr="00D919C5">
        <w:rPr>
          <w:sz w:val="20"/>
          <w:szCs w:val="20"/>
        </w:rPr>
        <w:t>Mazloumi</w:t>
      </w:r>
      <w:proofErr w:type="spellEnd"/>
      <w:r w:rsidRPr="00D919C5">
        <w:rPr>
          <w:sz w:val="20"/>
          <w:szCs w:val="20"/>
        </w:rPr>
        <w:t xml:space="preserve"> A, </w:t>
      </w:r>
      <w:proofErr w:type="spellStart"/>
      <w:r w:rsidRPr="00D919C5">
        <w:rPr>
          <w:sz w:val="20"/>
          <w:szCs w:val="20"/>
        </w:rPr>
        <w:t>Kazemi</w:t>
      </w:r>
      <w:proofErr w:type="spellEnd"/>
      <w:r w:rsidRPr="00D919C5">
        <w:rPr>
          <w:sz w:val="20"/>
          <w:szCs w:val="20"/>
        </w:rPr>
        <w:t xml:space="preserve"> Z, </w:t>
      </w:r>
      <w:proofErr w:type="spellStart"/>
      <w:r w:rsidRPr="00D919C5">
        <w:rPr>
          <w:sz w:val="20"/>
          <w:szCs w:val="20"/>
        </w:rPr>
        <w:t>Zeraati</w:t>
      </w:r>
      <w:proofErr w:type="spellEnd"/>
      <w:r w:rsidRPr="00D919C5">
        <w:rPr>
          <w:sz w:val="20"/>
          <w:szCs w:val="20"/>
        </w:rPr>
        <w:t xml:space="preserve"> H. </w:t>
      </w:r>
      <w:r w:rsidRPr="00D919C5">
        <w:rPr>
          <w:i/>
          <w:iCs/>
          <w:sz w:val="20"/>
          <w:szCs w:val="20"/>
        </w:rPr>
        <w:t>Evaluation of Mental Workload among ICU Ward's Nurses.</w:t>
      </w:r>
      <w:r w:rsidRPr="00D919C5">
        <w:rPr>
          <w:sz w:val="20"/>
          <w:szCs w:val="20"/>
        </w:rPr>
        <w:t xml:space="preserve"> Health </w:t>
      </w:r>
      <w:proofErr w:type="spellStart"/>
      <w:r w:rsidRPr="00D919C5">
        <w:rPr>
          <w:sz w:val="20"/>
          <w:szCs w:val="20"/>
        </w:rPr>
        <w:t>Promot</w:t>
      </w:r>
      <w:proofErr w:type="spellEnd"/>
      <w:r w:rsidRPr="00D919C5">
        <w:rPr>
          <w:sz w:val="20"/>
          <w:szCs w:val="20"/>
        </w:rPr>
        <w:t xml:space="preserve"> </w:t>
      </w:r>
      <w:proofErr w:type="spellStart"/>
      <w:r w:rsidRPr="00D919C5">
        <w:rPr>
          <w:sz w:val="20"/>
          <w:szCs w:val="20"/>
        </w:rPr>
        <w:t>Perspect</w:t>
      </w:r>
      <w:proofErr w:type="spellEnd"/>
      <w:r w:rsidRPr="00D919C5">
        <w:rPr>
          <w:sz w:val="20"/>
          <w:szCs w:val="20"/>
        </w:rPr>
        <w:t xml:space="preserve">. 2016 Jan 30;5(4):280-7. </w:t>
      </w:r>
      <w:proofErr w:type="spellStart"/>
      <w:r w:rsidRPr="00D919C5">
        <w:rPr>
          <w:sz w:val="20"/>
          <w:szCs w:val="20"/>
        </w:rPr>
        <w:t>doi</w:t>
      </w:r>
      <w:proofErr w:type="spellEnd"/>
      <w:r w:rsidRPr="00D919C5">
        <w:rPr>
          <w:sz w:val="20"/>
          <w:szCs w:val="20"/>
        </w:rPr>
        <w:t>: 10.15171/hpp.2015.033. PMID: 26933647; PMCID: PMC4772798.</w:t>
      </w:r>
    </w:p>
    <w:p w14:paraId="6F311402" w14:textId="15AC3F8E" w:rsidR="00E36B33" w:rsidRPr="00D919C5" w:rsidRDefault="00E36B33" w:rsidP="00A9531F">
      <w:pPr>
        <w:jc w:val="both"/>
        <w:rPr>
          <w:sz w:val="20"/>
          <w:szCs w:val="20"/>
        </w:rPr>
      </w:pPr>
      <w:r w:rsidRPr="00D919C5">
        <w:rPr>
          <w:sz w:val="20"/>
          <w:szCs w:val="20"/>
        </w:rPr>
        <w:t xml:space="preserve">Murray, L Susan., </w:t>
      </w:r>
      <w:proofErr w:type="spellStart"/>
      <w:r w:rsidRPr="00D919C5">
        <w:rPr>
          <w:sz w:val="20"/>
          <w:szCs w:val="20"/>
        </w:rPr>
        <w:t>Thimgan</w:t>
      </w:r>
      <w:proofErr w:type="spellEnd"/>
      <w:r w:rsidRPr="00D919C5">
        <w:rPr>
          <w:sz w:val="20"/>
          <w:szCs w:val="20"/>
        </w:rPr>
        <w:t xml:space="preserve">, S Matthew. (2016). </w:t>
      </w:r>
      <w:r w:rsidRPr="00D919C5">
        <w:rPr>
          <w:i/>
          <w:iCs/>
          <w:sz w:val="20"/>
          <w:szCs w:val="20"/>
        </w:rPr>
        <w:t>Human Fatigue Risk Management Improving Safety in the Chemical Processing Indu</w:t>
      </w:r>
      <w:r w:rsidR="00D919C5" w:rsidRPr="00D919C5">
        <w:rPr>
          <w:i/>
          <w:iCs/>
          <w:sz w:val="20"/>
          <w:szCs w:val="20"/>
        </w:rPr>
        <w:t>s</w:t>
      </w:r>
      <w:r w:rsidRPr="00D919C5">
        <w:rPr>
          <w:i/>
          <w:iCs/>
          <w:sz w:val="20"/>
          <w:szCs w:val="20"/>
        </w:rPr>
        <w:t>try.</w:t>
      </w:r>
      <w:r w:rsidRPr="00D919C5">
        <w:rPr>
          <w:sz w:val="20"/>
          <w:szCs w:val="20"/>
        </w:rPr>
        <w:t xml:space="preserve"> United Kingdom: Elsevier</w:t>
      </w:r>
      <w:r w:rsidR="00D919C5" w:rsidRPr="00D919C5">
        <w:rPr>
          <w:sz w:val="20"/>
          <w:szCs w:val="20"/>
        </w:rPr>
        <w:t>.</w:t>
      </w:r>
    </w:p>
    <w:p w14:paraId="48D97E7F" w14:textId="482D6A9A" w:rsidR="00E36B33" w:rsidRPr="00D919C5" w:rsidRDefault="00E36B33" w:rsidP="00A9531F">
      <w:pPr>
        <w:jc w:val="both"/>
        <w:rPr>
          <w:sz w:val="20"/>
          <w:szCs w:val="20"/>
        </w:rPr>
      </w:pPr>
      <w:proofErr w:type="spellStart"/>
      <w:r w:rsidRPr="00D919C5">
        <w:rPr>
          <w:sz w:val="20"/>
          <w:szCs w:val="20"/>
        </w:rPr>
        <w:t>Nikuin</w:t>
      </w:r>
      <w:proofErr w:type="spellEnd"/>
      <w:r w:rsidRPr="00D919C5">
        <w:rPr>
          <w:sz w:val="20"/>
          <w:szCs w:val="20"/>
        </w:rPr>
        <w:t xml:space="preserve">, Christopher &amp; López García, Gabriela &amp; González </w:t>
      </w:r>
      <w:proofErr w:type="spellStart"/>
      <w:r w:rsidRPr="00D919C5">
        <w:rPr>
          <w:sz w:val="20"/>
          <w:szCs w:val="20"/>
        </w:rPr>
        <w:t>Böh</w:t>
      </w:r>
      <w:r w:rsidR="00D919C5" w:rsidRPr="00D919C5">
        <w:rPr>
          <w:sz w:val="20"/>
          <w:szCs w:val="20"/>
        </w:rPr>
        <w:t>m</w:t>
      </w:r>
      <w:r w:rsidRPr="00D919C5">
        <w:rPr>
          <w:sz w:val="20"/>
          <w:szCs w:val="20"/>
        </w:rPr>
        <w:t>e</w:t>
      </w:r>
      <w:proofErr w:type="spellEnd"/>
      <w:r w:rsidRPr="00D919C5">
        <w:rPr>
          <w:sz w:val="20"/>
          <w:szCs w:val="20"/>
        </w:rPr>
        <w:t xml:space="preserve">, Luis Felipe &amp; </w:t>
      </w:r>
      <w:proofErr w:type="spellStart"/>
      <w:r w:rsidRPr="00D919C5">
        <w:rPr>
          <w:sz w:val="20"/>
          <w:szCs w:val="20"/>
        </w:rPr>
        <w:t>Piñones</w:t>
      </w:r>
      <w:proofErr w:type="spellEnd"/>
      <w:r w:rsidRPr="00D919C5">
        <w:rPr>
          <w:sz w:val="20"/>
          <w:szCs w:val="20"/>
        </w:rPr>
        <w:t xml:space="preserve">, Eduardo &amp; Zapata, Pia. (2019). </w:t>
      </w:r>
      <w:r w:rsidRPr="00D919C5">
        <w:rPr>
          <w:i/>
          <w:iCs/>
          <w:sz w:val="20"/>
          <w:szCs w:val="20"/>
        </w:rPr>
        <w:t>NASA-TLX for predictability and measurability of Instructional Design models: Case study in Design Methods</w:t>
      </w:r>
      <w:r w:rsidRPr="00D919C5">
        <w:rPr>
          <w:sz w:val="20"/>
          <w:szCs w:val="20"/>
        </w:rPr>
        <w:t>.. Educational Technology Research and Development. 27. 10.1007/s11423-019-09657-4.</w:t>
      </w:r>
    </w:p>
    <w:p w14:paraId="5AD6AC05" w14:textId="0C0EF332" w:rsidR="00E36B33" w:rsidRPr="00D919C5" w:rsidRDefault="00E36B33" w:rsidP="00A9531F">
      <w:pPr>
        <w:jc w:val="both"/>
        <w:rPr>
          <w:sz w:val="20"/>
          <w:szCs w:val="20"/>
        </w:rPr>
      </w:pPr>
      <w:proofErr w:type="spellStart"/>
      <w:r w:rsidRPr="00D919C5">
        <w:rPr>
          <w:sz w:val="20"/>
          <w:szCs w:val="20"/>
        </w:rPr>
        <w:t>Pageaux</w:t>
      </w:r>
      <w:proofErr w:type="spellEnd"/>
      <w:r w:rsidRPr="00D919C5">
        <w:rPr>
          <w:sz w:val="20"/>
          <w:szCs w:val="20"/>
        </w:rPr>
        <w:t>, B., and Lepers, R. (2018</w:t>
      </w:r>
      <w:r w:rsidRPr="00D919C5">
        <w:rPr>
          <w:i/>
          <w:iCs/>
          <w:sz w:val="20"/>
          <w:szCs w:val="20"/>
        </w:rPr>
        <w:t xml:space="preserve">). The effects of mental fatigue on </w:t>
      </w:r>
      <w:proofErr w:type="spellStart"/>
      <w:r w:rsidRPr="00D919C5">
        <w:rPr>
          <w:i/>
          <w:iCs/>
          <w:sz w:val="20"/>
          <w:szCs w:val="20"/>
        </w:rPr>
        <w:t>sportrelated</w:t>
      </w:r>
      <w:proofErr w:type="spellEnd"/>
      <w:r w:rsidRPr="00D919C5">
        <w:rPr>
          <w:i/>
          <w:iCs/>
          <w:sz w:val="20"/>
          <w:szCs w:val="20"/>
        </w:rPr>
        <w:t xml:space="preserve"> performance</w:t>
      </w:r>
      <w:r w:rsidRPr="00D919C5">
        <w:rPr>
          <w:sz w:val="20"/>
          <w:szCs w:val="20"/>
        </w:rPr>
        <w:t xml:space="preserve">. Prog. Brain Res. 240, 291–315. </w:t>
      </w:r>
      <w:proofErr w:type="spellStart"/>
      <w:r w:rsidRPr="00D919C5">
        <w:rPr>
          <w:sz w:val="20"/>
          <w:szCs w:val="20"/>
        </w:rPr>
        <w:t>doi</w:t>
      </w:r>
      <w:proofErr w:type="spellEnd"/>
      <w:r w:rsidRPr="00D919C5">
        <w:rPr>
          <w:sz w:val="20"/>
          <w:szCs w:val="20"/>
        </w:rPr>
        <w:t>: 10.1016/bs.pbr.2018. 10.004</w:t>
      </w:r>
      <w:r w:rsidR="00D919C5" w:rsidRPr="00D919C5">
        <w:rPr>
          <w:sz w:val="20"/>
          <w:szCs w:val="20"/>
        </w:rPr>
        <w:t>.</w:t>
      </w:r>
    </w:p>
    <w:p w14:paraId="78922C81" w14:textId="34947904" w:rsidR="00E36B33" w:rsidRPr="00D919C5" w:rsidRDefault="00E36B33" w:rsidP="00A9531F">
      <w:pPr>
        <w:jc w:val="both"/>
        <w:rPr>
          <w:sz w:val="20"/>
          <w:szCs w:val="20"/>
        </w:rPr>
      </w:pPr>
      <w:r w:rsidRPr="00D919C5">
        <w:rPr>
          <w:sz w:val="20"/>
          <w:szCs w:val="20"/>
        </w:rPr>
        <w:t xml:space="preserve">Van </w:t>
      </w:r>
      <w:proofErr w:type="spellStart"/>
      <w:r w:rsidRPr="00D919C5">
        <w:rPr>
          <w:sz w:val="20"/>
          <w:szCs w:val="20"/>
        </w:rPr>
        <w:t>Cutsem</w:t>
      </w:r>
      <w:proofErr w:type="spellEnd"/>
      <w:r w:rsidRPr="00D919C5">
        <w:rPr>
          <w:sz w:val="20"/>
          <w:szCs w:val="20"/>
        </w:rPr>
        <w:t xml:space="preserve">, J., </w:t>
      </w:r>
      <w:proofErr w:type="spellStart"/>
      <w:r w:rsidRPr="00D919C5">
        <w:rPr>
          <w:sz w:val="20"/>
          <w:szCs w:val="20"/>
        </w:rPr>
        <w:t>Marcora</w:t>
      </w:r>
      <w:proofErr w:type="spellEnd"/>
      <w:r w:rsidRPr="00D919C5">
        <w:rPr>
          <w:sz w:val="20"/>
          <w:szCs w:val="20"/>
        </w:rPr>
        <w:t xml:space="preserve">, S., De </w:t>
      </w:r>
      <w:proofErr w:type="spellStart"/>
      <w:r w:rsidRPr="00D919C5">
        <w:rPr>
          <w:sz w:val="20"/>
          <w:szCs w:val="20"/>
        </w:rPr>
        <w:t>Pauw</w:t>
      </w:r>
      <w:proofErr w:type="spellEnd"/>
      <w:r w:rsidRPr="00D919C5">
        <w:rPr>
          <w:sz w:val="20"/>
          <w:szCs w:val="20"/>
        </w:rPr>
        <w:t xml:space="preserve">, K., Bailey, S., Meeusen, R., and </w:t>
      </w:r>
      <w:proofErr w:type="spellStart"/>
      <w:r w:rsidRPr="00D919C5">
        <w:rPr>
          <w:sz w:val="20"/>
          <w:szCs w:val="20"/>
        </w:rPr>
        <w:t>Roelands</w:t>
      </w:r>
      <w:proofErr w:type="spellEnd"/>
      <w:r w:rsidRPr="00D919C5">
        <w:rPr>
          <w:sz w:val="20"/>
          <w:szCs w:val="20"/>
        </w:rPr>
        <w:t xml:space="preserve">, B. (2017b). </w:t>
      </w:r>
      <w:r w:rsidRPr="00D919C5">
        <w:rPr>
          <w:i/>
          <w:iCs/>
          <w:sz w:val="20"/>
          <w:szCs w:val="20"/>
        </w:rPr>
        <w:t>The effects of mental fatigue on physical performance: A systematic review</w:t>
      </w:r>
      <w:r w:rsidRPr="00D919C5">
        <w:rPr>
          <w:sz w:val="20"/>
          <w:szCs w:val="20"/>
        </w:rPr>
        <w:t xml:space="preserve">. Sports Med. 47, 1569–1588. </w:t>
      </w:r>
      <w:proofErr w:type="spellStart"/>
      <w:r w:rsidRPr="00D919C5">
        <w:rPr>
          <w:sz w:val="20"/>
          <w:szCs w:val="20"/>
        </w:rPr>
        <w:t>doi</w:t>
      </w:r>
      <w:proofErr w:type="spellEnd"/>
      <w:r w:rsidRPr="00D919C5">
        <w:rPr>
          <w:sz w:val="20"/>
          <w:szCs w:val="20"/>
        </w:rPr>
        <w:t>: 10.1007/s40279-016- 0672-0</w:t>
      </w:r>
      <w:r w:rsidR="00D919C5" w:rsidRPr="00D919C5">
        <w:rPr>
          <w:sz w:val="20"/>
          <w:szCs w:val="20"/>
        </w:rPr>
        <w:t>.</w:t>
      </w:r>
    </w:p>
    <w:p w14:paraId="1AC25843" w14:textId="0A6DAFB1" w:rsidR="00E36B33" w:rsidRPr="00D919C5" w:rsidRDefault="00E36B33" w:rsidP="00A9531F">
      <w:pPr>
        <w:jc w:val="both"/>
        <w:rPr>
          <w:sz w:val="20"/>
          <w:szCs w:val="20"/>
        </w:rPr>
      </w:pPr>
      <w:r w:rsidRPr="00D919C5">
        <w:rPr>
          <w:sz w:val="20"/>
          <w:szCs w:val="20"/>
        </w:rPr>
        <w:t xml:space="preserve">Williamson, A.M.; Lombardi, D.A.; </w:t>
      </w:r>
      <w:proofErr w:type="spellStart"/>
      <w:r w:rsidRPr="00D919C5">
        <w:rPr>
          <w:sz w:val="20"/>
          <w:szCs w:val="20"/>
        </w:rPr>
        <w:t>Folkard</w:t>
      </w:r>
      <w:proofErr w:type="spellEnd"/>
      <w:r w:rsidRPr="00D919C5">
        <w:rPr>
          <w:sz w:val="20"/>
          <w:szCs w:val="20"/>
        </w:rPr>
        <w:t xml:space="preserve">, S.; </w:t>
      </w:r>
      <w:proofErr w:type="spellStart"/>
      <w:r w:rsidRPr="00D919C5">
        <w:rPr>
          <w:sz w:val="20"/>
          <w:szCs w:val="20"/>
        </w:rPr>
        <w:t>Stutts</w:t>
      </w:r>
      <w:proofErr w:type="spellEnd"/>
      <w:r w:rsidRPr="00D919C5">
        <w:rPr>
          <w:sz w:val="20"/>
          <w:szCs w:val="20"/>
        </w:rPr>
        <w:t xml:space="preserve">, J.; Courtney, T.K.; Connor, J.L. 2011. </w:t>
      </w:r>
      <w:r w:rsidRPr="00D919C5">
        <w:rPr>
          <w:i/>
          <w:iCs/>
          <w:sz w:val="20"/>
          <w:szCs w:val="20"/>
        </w:rPr>
        <w:t>The link between fatigue and safety, in Accident Analysis and Prevention</w:t>
      </w:r>
      <w:r w:rsidRPr="00D919C5">
        <w:rPr>
          <w:sz w:val="20"/>
          <w:szCs w:val="20"/>
        </w:rPr>
        <w:t>. Vol. 43, pp. 498-515.</w:t>
      </w:r>
    </w:p>
    <w:p w14:paraId="5BF1FCF4" w14:textId="5C4C1D3C" w:rsidR="00943E92" w:rsidRPr="00D919C5" w:rsidRDefault="005F083A" w:rsidP="005F083A">
      <w:pPr>
        <w:jc w:val="both"/>
        <w:rPr>
          <w:sz w:val="20"/>
          <w:szCs w:val="20"/>
        </w:rPr>
      </w:pPr>
      <w:r w:rsidRPr="00D919C5">
        <w:rPr>
          <w:sz w:val="20"/>
          <w:szCs w:val="20"/>
        </w:rPr>
        <w:t xml:space="preserve">Wu G, Wu Y, Li H, Dan C. </w:t>
      </w:r>
      <w:r w:rsidRPr="00D919C5">
        <w:rPr>
          <w:i/>
          <w:iCs/>
          <w:sz w:val="20"/>
          <w:szCs w:val="20"/>
        </w:rPr>
        <w:t>Job Burnout, Work-Family Conflict and Project Performance for Construction Professionals: The Moderating Role of Organizational Support</w:t>
      </w:r>
      <w:r w:rsidRPr="00D919C5">
        <w:rPr>
          <w:sz w:val="20"/>
          <w:szCs w:val="20"/>
        </w:rPr>
        <w:t xml:space="preserve">. Int J Environ Res Public Health. 2018 Dec 14;15(12):2869. </w:t>
      </w:r>
      <w:proofErr w:type="spellStart"/>
      <w:r w:rsidRPr="00D919C5">
        <w:rPr>
          <w:sz w:val="20"/>
          <w:szCs w:val="20"/>
        </w:rPr>
        <w:t>doi</w:t>
      </w:r>
      <w:proofErr w:type="spellEnd"/>
      <w:r w:rsidRPr="00D919C5">
        <w:rPr>
          <w:sz w:val="20"/>
          <w:szCs w:val="20"/>
        </w:rPr>
        <w:t>: 10.3390/ijerph15122869. PMID: 30558218; PMCID: PMC6313469.</w:t>
      </w:r>
    </w:p>
    <w:p w14:paraId="7F65C004" w14:textId="77777777" w:rsidR="005F083A" w:rsidRPr="00D919C5" w:rsidRDefault="005F083A" w:rsidP="005F083A">
      <w:pPr>
        <w:shd w:val="clear" w:color="auto" w:fill="FFFFFF"/>
        <w:spacing w:line="0" w:lineRule="auto"/>
        <w:rPr>
          <w:rFonts w:ascii="ff1" w:hAnsi="ff1"/>
          <w:color w:val="000000"/>
          <w:sz w:val="54"/>
          <w:szCs w:val="54"/>
        </w:rPr>
      </w:pPr>
      <w:r w:rsidRPr="00D919C5">
        <w:rPr>
          <w:rFonts w:ascii="ff1" w:hAnsi="ff1"/>
          <w:color w:val="000000"/>
          <w:sz w:val="54"/>
          <w:szCs w:val="54"/>
        </w:rPr>
        <w:t xml:space="preserve">Hart, S.G., &amp; </w:t>
      </w:r>
      <w:proofErr w:type="spellStart"/>
      <w:r w:rsidRPr="00D919C5">
        <w:rPr>
          <w:rFonts w:ascii="ff1" w:hAnsi="ff1"/>
          <w:color w:val="000000"/>
          <w:sz w:val="54"/>
          <w:szCs w:val="54"/>
        </w:rPr>
        <w:t>Staveland</w:t>
      </w:r>
      <w:proofErr w:type="spellEnd"/>
      <w:r w:rsidRPr="00D919C5">
        <w:rPr>
          <w:rFonts w:ascii="ff1" w:hAnsi="ff1"/>
          <w:color w:val="000000"/>
          <w:sz w:val="54"/>
          <w:szCs w:val="54"/>
        </w:rPr>
        <w:t>, L.E. (1988). Development of NASA-TLX (Task Load</w:t>
      </w:r>
    </w:p>
    <w:p w14:paraId="7D84565B" w14:textId="77777777" w:rsidR="005F083A" w:rsidRPr="00D919C5" w:rsidRDefault="005F083A" w:rsidP="005F083A">
      <w:pPr>
        <w:shd w:val="clear" w:color="auto" w:fill="FFFFFF"/>
        <w:spacing w:line="0" w:lineRule="auto"/>
        <w:rPr>
          <w:rFonts w:ascii="ff1" w:hAnsi="ff1"/>
          <w:color w:val="000000"/>
          <w:spacing w:val="19"/>
          <w:sz w:val="54"/>
          <w:szCs w:val="54"/>
        </w:rPr>
      </w:pPr>
      <w:r w:rsidRPr="00D919C5">
        <w:rPr>
          <w:rFonts w:ascii="ff1" w:hAnsi="ff1"/>
          <w:color w:val="000000"/>
          <w:spacing w:val="19"/>
          <w:sz w:val="54"/>
          <w:szCs w:val="54"/>
        </w:rPr>
        <w:t>Index): Results of empirical and theoretical research. In P.A. Hancock &amp;</w:t>
      </w:r>
    </w:p>
    <w:p w14:paraId="58F1D978" w14:textId="77777777" w:rsidR="005F083A" w:rsidRPr="00D919C5" w:rsidRDefault="005F083A" w:rsidP="005F083A">
      <w:pPr>
        <w:shd w:val="clear" w:color="auto" w:fill="FFFFFF"/>
        <w:spacing w:line="0" w:lineRule="auto"/>
        <w:rPr>
          <w:rFonts w:ascii="ff1" w:hAnsi="ff1"/>
          <w:color w:val="000000"/>
          <w:spacing w:val="5"/>
          <w:sz w:val="54"/>
          <w:szCs w:val="54"/>
        </w:rPr>
      </w:pPr>
      <w:r w:rsidRPr="00D919C5">
        <w:rPr>
          <w:rFonts w:ascii="ff1" w:hAnsi="ff1"/>
          <w:color w:val="000000"/>
          <w:spacing w:val="5"/>
          <w:sz w:val="54"/>
          <w:szCs w:val="54"/>
        </w:rPr>
        <w:t xml:space="preserve">N. </w:t>
      </w:r>
      <w:proofErr w:type="spellStart"/>
      <w:r w:rsidRPr="00D919C5">
        <w:rPr>
          <w:rFonts w:ascii="ff1" w:hAnsi="ff1"/>
          <w:color w:val="000000"/>
          <w:spacing w:val="5"/>
          <w:sz w:val="54"/>
          <w:szCs w:val="54"/>
        </w:rPr>
        <w:t>Meshkati</w:t>
      </w:r>
      <w:proofErr w:type="spellEnd"/>
      <w:r w:rsidRPr="00D919C5">
        <w:rPr>
          <w:rFonts w:ascii="ff1" w:hAnsi="ff1"/>
          <w:color w:val="000000"/>
          <w:spacing w:val="5"/>
          <w:sz w:val="54"/>
          <w:szCs w:val="54"/>
        </w:rPr>
        <w:t xml:space="preserve"> (Eds.), </w:t>
      </w:r>
      <w:r w:rsidRPr="00D919C5">
        <w:rPr>
          <w:rStyle w:val="ff2"/>
          <w:rFonts w:ascii="ff2" w:hAnsi="ff2"/>
          <w:color w:val="000000"/>
          <w:spacing w:val="5"/>
          <w:sz w:val="54"/>
          <w:szCs w:val="54"/>
        </w:rPr>
        <w:t>Human mental workload</w:t>
      </w:r>
      <w:r w:rsidRPr="00D919C5">
        <w:rPr>
          <w:rStyle w:val="ls2"/>
          <w:rFonts w:ascii="ff1" w:hAnsi="ff1"/>
          <w:color w:val="000000"/>
          <w:sz w:val="54"/>
          <w:szCs w:val="54"/>
        </w:rPr>
        <w:t xml:space="preserve"> (</w:t>
      </w:r>
      <w:r w:rsidRPr="00D919C5">
        <w:rPr>
          <w:rStyle w:val="ls29"/>
          <w:rFonts w:ascii="ff1" w:hAnsi="ff1"/>
          <w:color w:val="000000"/>
          <w:spacing w:val="-16"/>
          <w:sz w:val="54"/>
          <w:szCs w:val="54"/>
        </w:rPr>
        <w:t xml:space="preserve">pp. 139 –183). </w:t>
      </w:r>
      <w:r w:rsidRPr="00D919C5">
        <w:rPr>
          <w:rStyle w:val="ws230"/>
          <w:rFonts w:ascii="ff1" w:hAnsi="ff1"/>
          <w:color w:val="000000"/>
          <w:spacing w:val="5"/>
          <w:sz w:val="54"/>
          <w:szCs w:val="54"/>
        </w:rPr>
        <w:t>Amsterdam: North-</w:t>
      </w:r>
    </w:p>
    <w:p w14:paraId="5130A689" w14:textId="77777777" w:rsidR="005F083A" w:rsidRDefault="005F083A" w:rsidP="005F083A">
      <w:pPr>
        <w:shd w:val="clear" w:color="auto" w:fill="FFFFFF"/>
        <w:spacing w:line="0" w:lineRule="auto"/>
        <w:rPr>
          <w:rFonts w:ascii="ff1" w:hAnsi="ff1"/>
          <w:color w:val="000000"/>
          <w:spacing w:val="-16"/>
          <w:sz w:val="54"/>
          <w:szCs w:val="54"/>
        </w:rPr>
      </w:pPr>
      <w:r w:rsidRPr="00D919C5">
        <w:rPr>
          <w:rFonts w:ascii="ff1" w:hAnsi="ff1"/>
          <w:color w:val="000000"/>
          <w:spacing w:val="-16"/>
          <w:sz w:val="54"/>
          <w:szCs w:val="54"/>
        </w:rPr>
        <w:t>Holland.</w:t>
      </w:r>
    </w:p>
    <w:p w14:paraId="3A083707" w14:textId="6D81F5BA" w:rsidR="00783B28" w:rsidRPr="00943E92" w:rsidRDefault="00783B28" w:rsidP="00943E92">
      <w:pPr>
        <w:pStyle w:val="NormalWeb"/>
        <w:spacing w:before="0" w:beforeAutospacing="0" w:after="0" w:afterAutospacing="0"/>
        <w:contextualSpacing/>
        <w:jc w:val="both"/>
        <w:rPr>
          <w:sz w:val="20"/>
          <w:szCs w:val="20"/>
        </w:rPr>
      </w:pPr>
    </w:p>
    <w:sectPr w:rsidR="00783B28" w:rsidRPr="00943E92" w:rsidSect="001F4B8F">
      <w:type w:val="continuous"/>
      <w:pgSz w:w="12240" w:h="15840"/>
      <w:pgMar w:top="737" w:right="680" w:bottom="737" w:left="680" w:header="709" w:footer="709" w:gutter="0"/>
      <w:cols w:num="2" w:space="5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ff1">
    <w:altName w:val="Cambria"/>
    <w:panose1 w:val="020B0604020202020204"/>
    <w:charset w:val="00"/>
    <w:family w:val="roman"/>
    <w:notTrueType/>
    <w:pitch w:val="default"/>
  </w:font>
  <w:font w:name="ff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91"/>
    <w:rsid w:val="000210CC"/>
    <w:rsid w:val="000557C5"/>
    <w:rsid w:val="000A75D5"/>
    <w:rsid w:val="0011230B"/>
    <w:rsid w:val="00144CD9"/>
    <w:rsid w:val="0019282A"/>
    <w:rsid w:val="001F4B8F"/>
    <w:rsid w:val="002B6952"/>
    <w:rsid w:val="00320A46"/>
    <w:rsid w:val="00371BCB"/>
    <w:rsid w:val="0038603B"/>
    <w:rsid w:val="0044513E"/>
    <w:rsid w:val="00452073"/>
    <w:rsid w:val="004A5C17"/>
    <w:rsid w:val="004C1A27"/>
    <w:rsid w:val="00512DEF"/>
    <w:rsid w:val="00531A94"/>
    <w:rsid w:val="00576D08"/>
    <w:rsid w:val="00587C8F"/>
    <w:rsid w:val="005F083A"/>
    <w:rsid w:val="006270E0"/>
    <w:rsid w:val="006D31C6"/>
    <w:rsid w:val="007320C4"/>
    <w:rsid w:val="00737993"/>
    <w:rsid w:val="00783B28"/>
    <w:rsid w:val="007B2F00"/>
    <w:rsid w:val="00821F36"/>
    <w:rsid w:val="00852C07"/>
    <w:rsid w:val="00867D91"/>
    <w:rsid w:val="008A4F7D"/>
    <w:rsid w:val="00943E92"/>
    <w:rsid w:val="00950CED"/>
    <w:rsid w:val="009603E5"/>
    <w:rsid w:val="009920CA"/>
    <w:rsid w:val="009D0F21"/>
    <w:rsid w:val="00A7315A"/>
    <w:rsid w:val="00A9531F"/>
    <w:rsid w:val="00BA6BBD"/>
    <w:rsid w:val="00CA25E6"/>
    <w:rsid w:val="00CE5915"/>
    <w:rsid w:val="00CE6C7A"/>
    <w:rsid w:val="00D50A05"/>
    <w:rsid w:val="00D65AAE"/>
    <w:rsid w:val="00D919C5"/>
    <w:rsid w:val="00DE5E52"/>
    <w:rsid w:val="00E05CA0"/>
    <w:rsid w:val="00E11955"/>
    <w:rsid w:val="00E36B33"/>
    <w:rsid w:val="00E53F4C"/>
    <w:rsid w:val="00E754ED"/>
    <w:rsid w:val="00E862CE"/>
    <w:rsid w:val="00EB7E84"/>
    <w:rsid w:val="00EF2B50"/>
    <w:rsid w:val="00F00A2E"/>
    <w:rsid w:val="00F35AB9"/>
    <w:rsid w:val="00F540CF"/>
    <w:rsid w:val="00FC45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A1B9"/>
  <w15:chartTrackingRefBased/>
  <w15:docId w15:val="{EC65C390-A6FC-A849-B2D3-3E38BDCE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 Affiliation"/>
    <w:basedOn w:val="Normal"/>
    <w:rsid w:val="00320A46"/>
    <w:pPr>
      <w:jc w:val="center"/>
    </w:pPr>
    <w:rPr>
      <w:i/>
      <w:sz w:val="20"/>
      <w:szCs w:val="20"/>
      <w:lang w:val="en-US"/>
    </w:rPr>
  </w:style>
  <w:style w:type="character" w:styleId="Hyperlink">
    <w:name w:val="Hyperlink"/>
    <w:basedOn w:val="DefaultParagraphFont"/>
    <w:uiPriority w:val="99"/>
    <w:unhideWhenUsed/>
    <w:rsid w:val="00320A46"/>
    <w:rPr>
      <w:color w:val="0563C1" w:themeColor="hyperlink"/>
      <w:u w:val="single"/>
    </w:rPr>
  </w:style>
  <w:style w:type="character" w:styleId="UnresolvedMention">
    <w:name w:val="Unresolved Mention"/>
    <w:basedOn w:val="DefaultParagraphFont"/>
    <w:uiPriority w:val="99"/>
    <w:semiHidden/>
    <w:unhideWhenUsed/>
    <w:rsid w:val="00320A46"/>
    <w:rPr>
      <w:color w:val="605E5C"/>
      <w:shd w:val="clear" w:color="auto" w:fill="E1DFDD"/>
    </w:rPr>
  </w:style>
  <w:style w:type="paragraph" w:styleId="NormalWeb">
    <w:name w:val="Normal (Web)"/>
    <w:basedOn w:val="Normal"/>
    <w:uiPriority w:val="99"/>
    <w:unhideWhenUsed/>
    <w:rsid w:val="00737993"/>
    <w:pPr>
      <w:spacing w:before="100" w:beforeAutospacing="1" w:after="100" w:afterAutospacing="1"/>
    </w:pPr>
  </w:style>
  <w:style w:type="character" w:styleId="Emphasis">
    <w:name w:val="Emphasis"/>
    <w:basedOn w:val="DefaultParagraphFont"/>
    <w:uiPriority w:val="20"/>
    <w:qFormat/>
    <w:rsid w:val="00BA6BBD"/>
    <w:rPr>
      <w:i/>
      <w:iCs/>
    </w:rPr>
  </w:style>
  <w:style w:type="table" w:styleId="TableGrid">
    <w:name w:val="Table Grid"/>
    <w:basedOn w:val="TableNormal"/>
    <w:uiPriority w:val="39"/>
    <w:rsid w:val="004A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C07"/>
    <w:rPr>
      <w:sz w:val="16"/>
      <w:szCs w:val="16"/>
    </w:rPr>
  </w:style>
  <w:style w:type="paragraph" w:styleId="CommentText">
    <w:name w:val="annotation text"/>
    <w:basedOn w:val="Normal"/>
    <w:link w:val="CommentTextChar"/>
    <w:uiPriority w:val="99"/>
    <w:unhideWhenUsed/>
    <w:rsid w:val="00852C07"/>
    <w:rPr>
      <w:sz w:val="20"/>
      <w:szCs w:val="20"/>
    </w:rPr>
  </w:style>
  <w:style w:type="character" w:customStyle="1" w:styleId="CommentTextChar">
    <w:name w:val="Comment Text Char"/>
    <w:basedOn w:val="DefaultParagraphFont"/>
    <w:link w:val="CommentText"/>
    <w:uiPriority w:val="99"/>
    <w:rsid w:val="00852C07"/>
    <w:rPr>
      <w:sz w:val="20"/>
      <w:szCs w:val="20"/>
    </w:rPr>
  </w:style>
  <w:style w:type="paragraph" w:styleId="CommentSubject">
    <w:name w:val="annotation subject"/>
    <w:basedOn w:val="CommentText"/>
    <w:next w:val="CommentText"/>
    <w:link w:val="CommentSubjectChar"/>
    <w:uiPriority w:val="99"/>
    <w:semiHidden/>
    <w:unhideWhenUsed/>
    <w:rsid w:val="00852C07"/>
    <w:rPr>
      <w:b/>
      <w:bCs/>
    </w:rPr>
  </w:style>
  <w:style w:type="character" w:customStyle="1" w:styleId="CommentSubjectChar">
    <w:name w:val="Comment Subject Char"/>
    <w:basedOn w:val="CommentTextChar"/>
    <w:link w:val="CommentSubject"/>
    <w:uiPriority w:val="99"/>
    <w:semiHidden/>
    <w:rsid w:val="00852C07"/>
    <w:rPr>
      <w:b/>
      <w:bCs/>
      <w:sz w:val="20"/>
      <w:szCs w:val="20"/>
    </w:rPr>
  </w:style>
  <w:style w:type="character" w:customStyle="1" w:styleId="authors">
    <w:name w:val="authors"/>
    <w:basedOn w:val="DefaultParagraphFont"/>
    <w:rsid w:val="005F083A"/>
  </w:style>
  <w:style w:type="character" w:customStyle="1" w:styleId="Date1">
    <w:name w:val="Date1"/>
    <w:basedOn w:val="DefaultParagraphFont"/>
    <w:rsid w:val="005F083A"/>
  </w:style>
  <w:style w:type="character" w:customStyle="1" w:styleId="arttitle">
    <w:name w:val="art_title"/>
    <w:basedOn w:val="DefaultParagraphFont"/>
    <w:rsid w:val="005F083A"/>
  </w:style>
  <w:style w:type="character" w:customStyle="1" w:styleId="serialtitle">
    <w:name w:val="serial_title"/>
    <w:basedOn w:val="DefaultParagraphFont"/>
    <w:rsid w:val="005F083A"/>
  </w:style>
  <w:style w:type="character" w:customStyle="1" w:styleId="volumeissue">
    <w:name w:val="volume_issue"/>
    <w:basedOn w:val="DefaultParagraphFont"/>
    <w:rsid w:val="005F083A"/>
  </w:style>
  <w:style w:type="character" w:customStyle="1" w:styleId="pagerange">
    <w:name w:val="page_range"/>
    <w:basedOn w:val="DefaultParagraphFont"/>
    <w:rsid w:val="005F083A"/>
  </w:style>
  <w:style w:type="character" w:customStyle="1" w:styleId="doilink">
    <w:name w:val="doi_link"/>
    <w:basedOn w:val="DefaultParagraphFont"/>
    <w:rsid w:val="005F083A"/>
  </w:style>
  <w:style w:type="character" w:customStyle="1" w:styleId="ff2">
    <w:name w:val="ff2"/>
    <w:basedOn w:val="DefaultParagraphFont"/>
    <w:rsid w:val="005F083A"/>
  </w:style>
  <w:style w:type="character" w:customStyle="1" w:styleId="ls2">
    <w:name w:val="ls2"/>
    <w:basedOn w:val="DefaultParagraphFont"/>
    <w:rsid w:val="005F083A"/>
  </w:style>
  <w:style w:type="character" w:customStyle="1" w:styleId="ls29">
    <w:name w:val="ls29"/>
    <w:basedOn w:val="DefaultParagraphFont"/>
    <w:rsid w:val="005F083A"/>
  </w:style>
  <w:style w:type="character" w:customStyle="1" w:styleId="ws230">
    <w:name w:val="ws230"/>
    <w:basedOn w:val="DefaultParagraphFont"/>
    <w:rsid w:val="005F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156">
      <w:bodyDiv w:val="1"/>
      <w:marLeft w:val="0"/>
      <w:marRight w:val="0"/>
      <w:marTop w:val="0"/>
      <w:marBottom w:val="0"/>
      <w:divBdr>
        <w:top w:val="none" w:sz="0" w:space="0" w:color="auto"/>
        <w:left w:val="none" w:sz="0" w:space="0" w:color="auto"/>
        <w:bottom w:val="none" w:sz="0" w:space="0" w:color="auto"/>
        <w:right w:val="none" w:sz="0" w:space="0" w:color="auto"/>
      </w:divBdr>
      <w:divsChild>
        <w:div w:id="459569985">
          <w:marLeft w:val="0"/>
          <w:marRight w:val="0"/>
          <w:marTop w:val="0"/>
          <w:marBottom w:val="0"/>
          <w:divBdr>
            <w:top w:val="none" w:sz="0" w:space="0" w:color="auto"/>
            <w:left w:val="none" w:sz="0" w:space="0" w:color="auto"/>
            <w:bottom w:val="none" w:sz="0" w:space="0" w:color="auto"/>
            <w:right w:val="none" w:sz="0" w:space="0" w:color="auto"/>
          </w:divBdr>
          <w:divsChild>
            <w:div w:id="1467043846">
              <w:marLeft w:val="0"/>
              <w:marRight w:val="0"/>
              <w:marTop w:val="0"/>
              <w:marBottom w:val="0"/>
              <w:divBdr>
                <w:top w:val="none" w:sz="0" w:space="0" w:color="auto"/>
                <w:left w:val="none" w:sz="0" w:space="0" w:color="auto"/>
                <w:bottom w:val="none" w:sz="0" w:space="0" w:color="auto"/>
                <w:right w:val="none" w:sz="0" w:space="0" w:color="auto"/>
              </w:divBdr>
              <w:divsChild>
                <w:div w:id="63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2216">
      <w:bodyDiv w:val="1"/>
      <w:marLeft w:val="0"/>
      <w:marRight w:val="0"/>
      <w:marTop w:val="0"/>
      <w:marBottom w:val="0"/>
      <w:divBdr>
        <w:top w:val="none" w:sz="0" w:space="0" w:color="auto"/>
        <w:left w:val="none" w:sz="0" w:space="0" w:color="auto"/>
        <w:bottom w:val="none" w:sz="0" w:space="0" w:color="auto"/>
        <w:right w:val="none" w:sz="0" w:space="0" w:color="auto"/>
      </w:divBdr>
      <w:divsChild>
        <w:div w:id="908345522">
          <w:marLeft w:val="0"/>
          <w:marRight w:val="0"/>
          <w:marTop w:val="0"/>
          <w:marBottom w:val="0"/>
          <w:divBdr>
            <w:top w:val="single" w:sz="6" w:space="0" w:color="5B616B"/>
            <w:left w:val="single" w:sz="6" w:space="0" w:color="5B616B"/>
            <w:bottom w:val="single" w:sz="6" w:space="0" w:color="5B616B"/>
            <w:right w:val="single" w:sz="6" w:space="0" w:color="5B616B"/>
          </w:divBdr>
        </w:div>
        <w:div w:id="36395775">
          <w:marLeft w:val="0"/>
          <w:marRight w:val="0"/>
          <w:marTop w:val="0"/>
          <w:marBottom w:val="0"/>
          <w:divBdr>
            <w:top w:val="none" w:sz="0" w:space="0" w:color="auto"/>
            <w:left w:val="none" w:sz="0" w:space="0" w:color="auto"/>
            <w:bottom w:val="none" w:sz="0" w:space="0" w:color="auto"/>
            <w:right w:val="none" w:sz="0" w:space="0" w:color="auto"/>
          </w:divBdr>
        </w:div>
      </w:divsChild>
    </w:div>
    <w:div w:id="381710490">
      <w:bodyDiv w:val="1"/>
      <w:marLeft w:val="0"/>
      <w:marRight w:val="0"/>
      <w:marTop w:val="0"/>
      <w:marBottom w:val="0"/>
      <w:divBdr>
        <w:top w:val="none" w:sz="0" w:space="0" w:color="auto"/>
        <w:left w:val="none" w:sz="0" w:space="0" w:color="auto"/>
        <w:bottom w:val="none" w:sz="0" w:space="0" w:color="auto"/>
        <w:right w:val="none" w:sz="0" w:space="0" w:color="auto"/>
      </w:divBdr>
      <w:divsChild>
        <w:div w:id="1302232607">
          <w:marLeft w:val="0"/>
          <w:marRight w:val="0"/>
          <w:marTop w:val="0"/>
          <w:marBottom w:val="0"/>
          <w:divBdr>
            <w:top w:val="none" w:sz="0" w:space="0" w:color="auto"/>
            <w:left w:val="none" w:sz="0" w:space="0" w:color="auto"/>
            <w:bottom w:val="none" w:sz="0" w:space="0" w:color="auto"/>
            <w:right w:val="none" w:sz="0" w:space="0" w:color="auto"/>
          </w:divBdr>
          <w:divsChild>
            <w:div w:id="1391421259">
              <w:marLeft w:val="0"/>
              <w:marRight w:val="0"/>
              <w:marTop w:val="0"/>
              <w:marBottom w:val="0"/>
              <w:divBdr>
                <w:top w:val="none" w:sz="0" w:space="0" w:color="auto"/>
                <w:left w:val="none" w:sz="0" w:space="0" w:color="auto"/>
                <w:bottom w:val="none" w:sz="0" w:space="0" w:color="auto"/>
                <w:right w:val="none" w:sz="0" w:space="0" w:color="auto"/>
              </w:divBdr>
              <w:divsChild>
                <w:div w:id="16047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6356">
      <w:bodyDiv w:val="1"/>
      <w:marLeft w:val="0"/>
      <w:marRight w:val="0"/>
      <w:marTop w:val="0"/>
      <w:marBottom w:val="0"/>
      <w:divBdr>
        <w:top w:val="none" w:sz="0" w:space="0" w:color="auto"/>
        <w:left w:val="none" w:sz="0" w:space="0" w:color="auto"/>
        <w:bottom w:val="none" w:sz="0" w:space="0" w:color="auto"/>
        <w:right w:val="none" w:sz="0" w:space="0" w:color="auto"/>
      </w:divBdr>
    </w:div>
    <w:div w:id="750660149">
      <w:bodyDiv w:val="1"/>
      <w:marLeft w:val="0"/>
      <w:marRight w:val="0"/>
      <w:marTop w:val="0"/>
      <w:marBottom w:val="0"/>
      <w:divBdr>
        <w:top w:val="none" w:sz="0" w:space="0" w:color="auto"/>
        <w:left w:val="none" w:sz="0" w:space="0" w:color="auto"/>
        <w:bottom w:val="none" w:sz="0" w:space="0" w:color="auto"/>
        <w:right w:val="none" w:sz="0" w:space="0" w:color="auto"/>
      </w:divBdr>
      <w:divsChild>
        <w:div w:id="915363627">
          <w:marLeft w:val="0"/>
          <w:marRight w:val="0"/>
          <w:marTop w:val="0"/>
          <w:marBottom w:val="0"/>
          <w:divBdr>
            <w:top w:val="none" w:sz="0" w:space="0" w:color="auto"/>
            <w:left w:val="none" w:sz="0" w:space="0" w:color="auto"/>
            <w:bottom w:val="none" w:sz="0" w:space="0" w:color="auto"/>
            <w:right w:val="none" w:sz="0" w:space="0" w:color="auto"/>
          </w:divBdr>
          <w:divsChild>
            <w:div w:id="336855462">
              <w:marLeft w:val="0"/>
              <w:marRight w:val="0"/>
              <w:marTop w:val="0"/>
              <w:marBottom w:val="0"/>
              <w:divBdr>
                <w:top w:val="none" w:sz="0" w:space="0" w:color="auto"/>
                <w:left w:val="none" w:sz="0" w:space="0" w:color="auto"/>
                <w:bottom w:val="none" w:sz="0" w:space="0" w:color="auto"/>
                <w:right w:val="none" w:sz="0" w:space="0" w:color="auto"/>
              </w:divBdr>
              <w:divsChild>
                <w:div w:id="12110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3313">
      <w:bodyDiv w:val="1"/>
      <w:marLeft w:val="0"/>
      <w:marRight w:val="0"/>
      <w:marTop w:val="0"/>
      <w:marBottom w:val="0"/>
      <w:divBdr>
        <w:top w:val="none" w:sz="0" w:space="0" w:color="auto"/>
        <w:left w:val="none" w:sz="0" w:space="0" w:color="auto"/>
        <w:bottom w:val="none" w:sz="0" w:space="0" w:color="auto"/>
        <w:right w:val="none" w:sz="0" w:space="0" w:color="auto"/>
      </w:divBdr>
      <w:divsChild>
        <w:div w:id="1515076109">
          <w:marLeft w:val="0"/>
          <w:marRight w:val="0"/>
          <w:marTop w:val="0"/>
          <w:marBottom w:val="0"/>
          <w:divBdr>
            <w:top w:val="none" w:sz="0" w:space="0" w:color="auto"/>
            <w:left w:val="none" w:sz="0" w:space="0" w:color="auto"/>
            <w:bottom w:val="none" w:sz="0" w:space="0" w:color="auto"/>
            <w:right w:val="none" w:sz="0" w:space="0" w:color="auto"/>
          </w:divBdr>
          <w:divsChild>
            <w:div w:id="1214192657">
              <w:marLeft w:val="0"/>
              <w:marRight w:val="0"/>
              <w:marTop w:val="0"/>
              <w:marBottom w:val="0"/>
              <w:divBdr>
                <w:top w:val="none" w:sz="0" w:space="0" w:color="auto"/>
                <w:left w:val="none" w:sz="0" w:space="0" w:color="auto"/>
                <w:bottom w:val="none" w:sz="0" w:space="0" w:color="auto"/>
                <w:right w:val="none" w:sz="0" w:space="0" w:color="auto"/>
              </w:divBdr>
              <w:divsChild>
                <w:div w:id="18258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1185">
      <w:bodyDiv w:val="1"/>
      <w:marLeft w:val="0"/>
      <w:marRight w:val="0"/>
      <w:marTop w:val="0"/>
      <w:marBottom w:val="0"/>
      <w:divBdr>
        <w:top w:val="none" w:sz="0" w:space="0" w:color="auto"/>
        <w:left w:val="none" w:sz="0" w:space="0" w:color="auto"/>
        <w:bottom w:val="none" w:sz="0" w:space="0" w:color="auto"/>
        <w:right w:val="none" w:sz="0" w:space="0" w:color="auto"/>
      </w:divBdr>
      <w:divsChild>
        <w:div w:id="1543591283">
          <w:marLeft w:val="0"/>
          <w:marRight w:val="0"/>
          <w:marTop w:val="0"/>
          <w:marBottom w:val="0"/>
          <w:divBdr>
            <w:top w:val="none" w:sz="0" w:space="0" w:color="auto"/>
            <w:left w:val="none" w:sz="0" w:space="0" w:color="auto"/>
            <w:bottom w:val="none" w:sz="0" w:space="0" w:color="auto"/>
            <w:right w:val="none" w:sz="0" w:space="0" w:color="auto"/>
          </w:divBdr>
          <w:divsChild>
            <w:div w:id="1165047928">
              <w:marLeft w:val="0"/>
              <w:marRight w:val="0"/>
              <w:marTop w:val="0"/>
              <w:marBottom w:val="0"/>
              <w:divBdr>
                <w:top w:val="none" w:sz="0" w:space="0" w:color="auto"/>
                <w:left w:val="none" w:sz="0" w:space="0" w:color="auto"/>
                <w:bottom w:val="none" w:sz="0" w:space="0" w:color="auto"/>
                <w:right w:val="none" w:sz="0" w:space="0" w:color="auto"/>
              </w:divBdr>
              <w:divsChild>
                <w:div w:id="1936404373">
                  <w:marLeft w:val="0"/>
                  <w:marRight w:val="0"/>
                  <w:marTop w:val="0"/>
                  <w:marBottom w:val="0"/>
                  <w:divBdr>
                    <w:top w:val="none" w:sz="0" w:space="0" w:color="auto"/>
                    <w:left w:val="none" w:sz="0" w:space="0" w:color="auto"/>
                    <w:bottom w:val="none" w:sz="0" w:space="0" w:color="auto"/>
                    <w:right w:val="none" w:sz="0" w:space="0" w:color="auto"/>
                  </w:divBdr>
                </w:div>
                <w:div w:id="19031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7156">
      <w:bodyDiv w:val="1"/>
      <w:marLeft w:val="0"/>
      <w:marRight w:val="0"/>
      <w:marTop w:val="0"/>
      <w:marBottom w:val="0"/>
      <w:divBdr>
        <w:top w:val="none" w:sz="0" w:space="0" w:color="auto"/>
        <w:left w:val="none" w:sz="0" w:space="0" w:color="auto"/>
        <w:bottom w:val="none" w:sz="0" w:space="0" w:color="auto"/>
        <w:right w:val="none" w:sz="0" w:space="0" w:color="auto"/>
      </w:divBdr>
    </w:div>
    <w:div w:id="1105076657">
      <w:bodyDiv w:val="1"/>
      <w:marLeft w:val="0"/>
      <w:marRight w:val="0"/>
      <w:marTop w:val="0"/>
      <w:marBottom w:val="0"/>
      <w:divBdr>
        <w:top w:val="none" w:sz="0" w:space="0" w:color="auto"/>
        <w:left w:val="none" w:sz="0" w:space="0" w:color="auto"/>
        <w:bottom w:val="none" w:sz="0" w:space="0" w:color="auto"/>
        <w:right w:val="none" w:sz="0" w:space="0" w:color="auto"/>
      </w:divBdr>
      <w:divsChild>
        <w:div w:id="1357848897">
          <w:marLeft w:val="0"/>
          <w:marRight w:val="0"/>
          <w:marTop w:val="0"/>
          <w:marBottom w:val="0"/>
          <w:divBdr>
            <w:top w:val="single" w:sz="6" w:space="0" w:color="5B616B"/>
            <w:left w:val="single" w:sz="6" w:space="0" w:color="5B616B"/>
            <w:bottom w:val="single" w:sz="6" w:space="0" w:color="5B616B"/>
            <w:right w:val="single" w:sz="6" w:space="0" w:color="5B616B"/>
          </w:divBdr>
        </w:div>
        <w:div w:id="1360277105">
          <w:marLeft w:val="0"/>
          <w:marRight w:val="0"/>
          <w:marTop w:val="0"/>
          <w:marBottom w:val="0"/>
          <w:divBdr>
            <w:top w:val="none" w:sz="0" w:space="0" w:color="auto"/>
            <w:left w:val="none" w:sz="0" w:space="0" w:color="auto"/>
            <w:bottom w:val="none" w:sz="0" w:space="0" w:color="auto"/>
            <w:right w:val="none" w:sz="0" w:space="0" w:color="auto"/>
          </w:divBdr>
        </w:div>
      </w:divsChild>
    </w:div>
    <w:div w:id="1119299598">
      <w:bodyDiv w:val="1"/>
      <w:marLeft w:val="0"/>
      <w:marRight w:val="0"/>
      <w:marTop w:val="0"/>
      <w:marBottom w:val="0"/>
      <w:divBdr>
        <w:top w:val="none" w:sz="0" w:space="0" w:color="auto"/>
        <w:left w:val="none" w:sz="0" w:space="0" w:color="auto"/>
        <w:bottom w:val="none" w:sz="0" w:space="0" w:color="auto"/>
        <w:right w:val="none" w:sz="0" w:space="0" w:color="auto"/>
      </w:divBdr>
      <w:divsChild>
        <w:div w:id="1720129940">
          <w:marLeft w:val="0"/>
          <w:marRight w:val="0"/>
          <w:marTop w:val="0"/>
          <w:marBottom w:val="0"/>
          <w:divBdr>
            <w:top w:val="none" w:sz="0" w:space="0" w:color="auto"/>
            <w:left w:val="none" w:sz="0" w:space="0" w:color="auto"/>
            <w:bottom w:val="none" w:sz="0" w:space="0" w:color="auto"/>
            <w:right w:val="none" w:sz="0" w:space="0" w:color="auto"/>
          </w:divBdr>
          <w:divsChild>
            <w:div w:id="1114598887">
              <w:marLeft w:val="0"/>
              <w:marRight w:val="0"/>
              <w:marTop w:val="0"/>
              <w:marBottom w:val="0"/>
              <w:divBdr>
                <w:top w:val="none" w:sz="0" w:space="0" w:color="auto"/>
                <w:left w:val="none" w:sz="0" w:space="0" w:color="auto"/>
                <w:bottom w:val="none" w:sz="0" w:space="0" w:color="auto"/>
                <w:right w:val="none" w:sz="0" w:space="0" w:color="auto"/>
              </w:divBdr>
              <w:divsChild>
                <w:div w:id="2780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58118">
      <w:bodyDiv w:val="1"/>
      <w:marLeft w:val="0"/>
      <w:marRight w:val="0"/>
      <w:marTop w:val="0"/>
      <w:marBottom w:val="0"/>
      <w:divBdr>
        <w:top w:val="none" w:sz="0" w:space="0" w:color="auto"/>
        <w:left w:val="none" w:sz="0" w:space="0" w:color="auto"/>
        <w:bottom w:val="none" w:sz="0" w:space="0" w:color="auto"/>
        <w:right w:val="none" w:sz="0" w:space="0" w:color="auto"/>
      </w:divBdr>
      <w:divsChild>
        <w:div w:id="2117364862">
          <w:marLeft w:val="0"/>
          <w:marRight w:val="0"/>
          <w:marTop w:val="0"/>
          <w:marBottom w:val="0"/>
          <w:divBdr>
            <w:top w:val="none" w:sz="0" w:space="0" w:color="auto"/>
            <w:left w:val="none" w:sz="0" w:space="0" w:color="auto"/>
            <w:bottom w:val="none" w:sz="0" w:space="0" w:color="auto"/>
            <w:right w:val="none" w:sz="0" w:space="0" w:color="auto"/>
          </w:divBdr>
          <w:divsChild>
            <w:div w:id="1898277575">
              <w:marLeft w:val="0"/>
              <w:marRight w:val="0"/>
              <w:marTop w:val="0"/>
              <w:marBottom w:val="0"/>
              <w:divBdr>
                <w:top w:val="none" w:sz="0" w:space="0" w:color="auto"/>
                <w:left w:val="none" w:sz="0" w:space="0" w:color="auto"/>
                <w:bottom w:val="none" w:sz="0" w:space="0" w:color="auto"/>
                <w:right w:val="none" w:sz="0" w:space="0" w:color="auto"/>
              </w:divBdr>
              <w:divsChild>
                <w:div w:id="1527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709">
      <w:bodyDiv w:val="1"/>
      <w:marLeft w:val="0"/>
      <w:marRight w:val="0"/>
      <w:marTop w:val="0"/>
      <w:marBottom w:val="0"/>
      <w:divBdr>
        <w:top w:val="none" w:sz="0" w:space="0" w:color="auto"/>
        <w:left w:val="none" w:sz="0" w:space="0" w:color="auto"/>
        <w:bottom w:val="none" w:sz="0" w:space="0" w:color="auto"/>
        <w:right w:val="none" w:sz="0" w:space="0" w:color="auto"/>
      </w:divBdr>
      <w:divsChild>
        <w:div w:id="1242177620">
          <w:marLeft w:val="0"/>
          <w:marRight w:val="0"/>
          <w:marTop w:val="0"/>
          <w:marBottom w:val="0"/>
          <w:divBdr>
            <w:top w:val="none" w:sz="0" w:space="0" w:color="auto"/>
            <w:left w:val="none" w:sz="0" w:space="0" w:color="auto"/>
            <w:bottom w:val="none" w:sz="0" w:space="0" w:color="auto"/>
            <w:right w:val="none" w:sz="0" w:space="0" w:color="auto"/>
          </w:divBdr>
          <w:divsChild>
            <w:div w:id="1724983858">
              <w:marLeft w:val="0"/>
              <w:marRight w:val="0"/>
              <w:marTop w:val="0"/>
              <w:marBottom w:val="0"/>
              <w:divBdr>
                <w:top w:val="none" w:sz="0" w:space="0" w:color="auto"/>
                <w:left w:val="none" w:sz="0" w:space="0" w:color="auto"/>
                <w:bottom w:val="none" w:sz="0" w:space="0" w:color="auto"/>
                <w:right w:val="none" w:sz="0" w:space="0" w:color="auto"/>
              </w:divBdr>
              <w:divsChild>
                <w:div w:id="17072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9543">
      <w:bodyDiv w:val="1"/>
      <w:marLeft w:val="0"/>
      <w:marRight w:val="0"/>
      <w:marTop w:val="0"/>
      <w:marBottom w:val="0"/>
      <w:divBdr>
        <w:top w:val="none" w:sz="0" w:space="0" w:color="auto"/>
        <w:left w:val="none" w:sz="0" w:space="0" w:color="auto"/>
        <w:bottom w:val="none" w:sz="0" w:space="0" w:color="auto"/>
        <w:right w:val="none" w:sz="0" w:space="0" w:color="auto"/>
      </w:divBdr>
    </w:div>
    <w:div w:id="1276327215">
      <w:bodyDiv w:val="1"/>
      <w:marLeft w:val="0"/>
      <w:marRight w:val="0"/>
      <w:marTop w:val="0"/>
      <w:marBottom w:val="0"/>
      <w:divBdr>
        <w:top w:val="none" w:sz="0" w:space="0" w:color="auto"/>
        <w:left w:val="none" w:sz="0" w:space="0" w:color="auto"/>
        <w:bottom w:val="none" w:sz="0" w:space="0" w:color="auto"/>
        <w:right w:val="none" w:sz="0" w:space="0" w:color="auto"/>
      </w:divBdr>
      <w:divsChild>
        <w:div w:id="1305542698">
          <w:marLeft w:val="0"/>
          <w:marRight w:val="0"/>
          <w:marTop w:val="0"/>
          <w:marBottom w:val="0"/>
          <w:divBdr>
            <w:top w:val="none" w:sz="0" w:space="0" w:color="auto"/>
            <w:left w:val="none" w:sz="0" w:space="0" w:color="auto"/>
            <w:bottom w:val="none" w:sz="0" w:space="0" w:color="auto"/>
            <w:right w:val="none" w:sz="0" w:space="0" w:color="auto"/>
          </w:divBdr>
          <w:divsChild>
            <w:div w:id="1184171734">
              <w:marLeft w:val="0"/>
              <w:marRight w:val="0"/>
              <w:marTop w:val="0"/>
              <w:marBottom w:val="0"/>
              <w:divBdr>
                <w:top w:val="none" w:sz="0" w:space="0" w:color="auto"/>
                <w:left w:val="none" w:sz="0" w:space="0" w:color="auto"/>
                <w:bottom w:val="none" w:sz="0" w:space="0" w:color="auto"/>
                <w:right w:val="none" w:sz="0" w:space="0" w:color="auto"/>
              </w:divBdr>
              <w:divsChild>
                <w:div w:id="11727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2566">
      <w:bodyDiv w:val="1"/>
      <w:marLeft w:val="0"/>
      <w:marRight w:val="0"/>
      <w:marTop w:val="0"/>
      <w:marBottom w:val="0"/>
      <w:divBdr>
        <w:top w:val="none" w:sz="0" w:space="0" w:color="auto"/>
        <w:left w:val="none" w:sz="0" w:space="0" w:color="auto"/>
        <w:bottom w:val="none" w:sz="0" w:space="0" w:color="auto"/>
        <w:right w:val="none" w:sz="0" w:space="0" w:color="auto"/>
      </w:divBdr>
      <w:divsChild>
        <w:div w:id="1309895279">
          <w:marLeft w:val="0"/>
          <w:marRight w:val="0"/>
          <w:marTop w:val="0"/>
          <w:marBottom w:val="0"/>
          <w:divBdr>
            <w:top w:val="none" w:sz="0" w:space="0" w:color="auto"/>
            <w:left w:val="none" w:sz="0" w:space="0" w:color="auto"/>
            <w:bottom w:val="none" w:sz="0" w:space="0" w:color="auto"/>
            <w:right w:val="none" w:sz="0" w:space="0" w:color="auto"/>
          </w:divBdr>
          <w:divsChild>
            <w:div w:id="1703549105">
              <w:marLeft w:val="0"/>
              <w:marRight w:val="0"/>
              <w:marTop w:val="0"/>
              <w:marBottom w:val="0"/>
              <w:divBdr>
                <w:top w:val="none" w:sz="0" w:space="0" w:color="auto"/>
                <w:left w:val="none" w:sz="0" w:space="0" w:color="auto"/>
                <w:bottom w:val="none" w:sz="0" w:space="0" w:color="auto"/>
                <w:right w:val="none" w:sz="0" w:space="0" w:color="auto"/>
              </w:divBdr>
              <w:divsChild>
                <w:div w:id="1358039604">
                  <w:marLeft w:val="0"/>
                  <w:marRight w:val="0"/>
                  <w:marTop w:val="0"/>
                  <w:marBottom w:val="0"/>
                  <w:divBdr>
                    <w:top w:val="none" w:sz="0" w:space="0" w:color="auto"/>
                    <w:left w:val="none" w:sz="0" w:space="0" w:color="auto"/>
                    <w:bottom w:val="none" w:sz="0" w:space="0" w:color="auto"/>
                    <w:right w:val="none" w:sz="0" w:space="0" w:color="auto"/>
                  </w:divBdr>
                  <w:divsChild>
                    <w:div w:id="15765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66">
      <w:bodyDiv w:val="1"/>
      <w:marLeft w:val="0"/>
      <w:marRight w:val="0"/>
      <w:marTop w:val="0"/>
      <w:marBottom w:val="0"/>
      <w:divBdr>
        <w:top w:val="none" w:sz="0" w:space="0" w:color="auto"/>
        <w:left w:val="none" w:sz="0" w:space="0" w:color="auto"/>
        <w:bottom w:val="none" w:sz="0" w:space="0" w:color="auto"/>
        <w:right w:val="none" w:sz="0" w:space="0" w:color="auto"/>
      </w:divBdr>
      <w:divsChild>
        <w:div w:id="55010156">
          <w:marLeft w:val="0"/>
          <w:marRight w:val="0"/>
          <w:marTop w:val="0"/>
          <w:marBottom w:val="0"/>
          <w:divBdr>
            <w:top w:val="none" w:sz="0" w:space="0" w:color="auto"/>
            <w:left w:val="none" w:sz="0" w:space="0" w:color="auto"/>
            <w:bottom w:val="none" w:sz="0" w:space="0" w:color="auto"/>
            <w:right w:val="none" w:sz="0" w:space="0" w:color="auto"/>
          </w:divBdr>
          <w:divsChild>
            <w:div w:id="900142118">
              <w:marLeft w:val="0"/>
              <w:marRight w:val="0"/>
              <w:marTop w:val="0"/>
              <w:marBottom w:val="0"/>
              <w:divBdr>
                <w:top w:val="none" w:sz="0" w:space="0" w:color="auto"/>
                <w:left w:val="none" w:sz="0" w:space="0" w:color="auto"/>
                <w:bottom w:val="none" w:sz="0" w:space="0" w:color="auto"/>
                <w:right w:val="none" w:sz="0" w:space="0" w:color="auto"/>
              </w:divBdr>
              <w:divsChild>
                <w:div w:id="1454445037">
                  <w:marLeft w:val="0"/>
                  <w:marRight w:val="0"/>
                  <w:marTop w:val="0"/>
                  <w:marBottom w:val="0"/>
                  <w:divBdr>
                    <w:top w:val="none" w:sz="0" w:space="0" w:color="auto"/>
                    <w:left w:val="none" w:sz="0" w:space="0" w:color="auto"/>
                    <w:bottom w:val="none" w:sz="0" w:space="0" w:color="auto"/>
                    <w:right w:val="none" w:sz="0" w:space="0" w:color="auto"/>
                  </w:divBdr>
                  <w:divsChild>
                    <w:div w:id="19244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3737">
      <w:bodyDiv w:val="1"/>
      <w:marLeft w:val="0"/>
      <w:marRight w:val="0"/>
      <w:marTop w:val="0"/>
      <w:marBottom w:val="0"/>
      <w:divBdr>
        <w:top w:val="none" w:sz="0" w:space="0" w:color="auto"/>
        <w:left w:val="none" w:sz="0" w:space="0" w:color="auto"/>
        <w:bottom w:val="none" w:sz="0" w:space="0" w:color="auto"/>
        <w:right w:val="none" w:sz="0" w:space="0" w:color="auto"/>
      </w:divBdr>
      <w:divsChild>
        <w:div w:id="261642966">
          <w:marLeft w:val="0"/>
          <w:marRight w:val="0"/>
          <w:marTop w:val="0"/>
          <w:marBottom w:val="0"/>
          <w:divBdr>
            <w:top w:val="none" w:sz="0" w:space="0" w:color="auto"/>
            <w:left w:val="none" w:sz="0" w:space="0" w:color="auto"/>
            <w:bottom w:val="none" w:sz="0" w:space="0" w:color="auto"/>
            <w:right w:val="none" w:sz="0" w:space="0" w:color="auto"/>
          </w:divBdr>
          <w:divsChild>
            <w:div w:id="1024870172">
              <w:marLeft w:val="0"/>
              <w:marRight w:val="0"/>
              <w:marTop w:val="0"/>
              <w:marBottom w:val="0"/>
              <w:divBdr>
                <w:top w:val="none" w:sz="0" w:space="0" w:color="auto"/>
                <w:left w:val="none" w:sz="0" w:space="0" w:color="auto"/>
                <w:bottom w:val="none" w:sz="0" w:space="0" w:color="auto"/>
                <w:right w:val="none" w:sz="0" w:space="0" w:color="auto"/>
              </w:divBdr>
              <w:divsChild>
                <w:div w:id="4326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7878">
      <w:bodyDiv w:val="1"/>
      <w:marLeft w:val="0"/>
      <w:marRight w:val="0"/>
      <w:marTop w:val="0"/>
      <w:marBottom w:val="0"/>
      <w:divBdr>
        <w:top w:val="none" w:sz="0" w:space="0" w:color="auto"/>
        <w:left w:val="none" w:sz="0" w:space="0" w:color="auto"/>
        <w:bottom w:val="none" w:sz="0" w:space="0" w:color="auto"/>
        <w:right w:val="none" w:sz="0" w:space="0" w:color="auto"/>
      </w:divBdr>
      <w:divsChild>
        <w:div w:id="771048896">
          <w:marLeft w:val="0"/>
          <w:marRight w:val="0"/>
          <w:marTop w:val="0"/>
          <w:marBottom w:val="0"/>
          <w:divBdr>
            <w:top w:val="none" w:sz="0" w:space="0" w:color="auto"/>
            <w:left w:val="none" w:sz="0" w:space="0" w:color="auto"/>
            <w:bottom w:val="none" w:sz="0" w:space="0" w:color="auto"/>
            <w:right w:val="none" w:sz="0" w:space="0" w:color="auto"/>
          </w:divBdr>
          <w:divsChild>
            <w:div w:id="1788348581">
              <w:marLeft w:val="0"/>
              <w:marRight w:val="0"/>
              <w:marTop w:val="0"/>
              <w:marBottom w:val="0"/>
              <w:divBdr>
                <w:top w:val="none" w:sz="0" w:space="0" w:color="auto"/>
                <w:left w:val="none" w:sz="0" w:space="0" w:color="auto"/>
                <w:bottom w:val="none" w:sz="0" w:space="0" w:color="auto"/>
                <w:right w:val="none" w:sz="0" w:space="0" w:color="auto"/>
              </w:divBdr>
              <w:divsChild>
                <w:div w:id="21125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4607">
      <w:bodyDiv w:val="1"/>
      <w:marLeft w:val="0"/>
      <w:marRight w:val="0"/>
      <w:marTop w:val="0"/>
      <w:marBottom w:val="0"/>
      <w:divBdr>
        <w:top w:val="none" w:sz="0" w:space="0" w:color="auto"/>
        <w:left w:val="none" w:sz="0" w:space="0" w:color="auto"/>
        <w:bottom w:val="none" w:sz="0" w:space="0" w:color="auto"/>
        <w:right w:val="none" w:sz="0" w:space="0" w:color="auto"/>
      </w:divBdr>
    </w:div>
    <w:div w:id="1993177326">
      <w:bodyDiv w:val="1"/>
      <w:marLeft w:val="0"/>
      <w:marRight w:val="0"/>
      <w:marTop w:val="0"/>
      <w:marBottom w:val="0"/>
      <w:divBdr>
        <w:top w:val="none" w:sz="0" w:space="0" w:color="auto"/>
        <w:left w:val="none" w:sz="0" w:space="0" w:color="auto"/>
        <w:bottom w:val="none" w:sz="0" w:space="0" w:color="auto"/>
        <w:right w:val="none" w:sz="0" w:space="0" w:color="auto"/>
      </w:divBdr>
      <w:divsChild>
        <w:div w:id="86125215">
          <w:marLeft w:val="0"/>
          <w:marRight w:val="0"/>
          <w:marTop w:val="0"/>
          <w:marBottom w:val="0"/>
          <w:divBdr>
            <w:top w:val="single" w:sz="6" w:space="0" w:color="5B616B"/>
            <w:left w:val="single" w:sz="6" w:space="0" w:color="5B616B"/>
            <w:bottom w:val="single" w:sz="6" w:space="0" w:color="5B616B"/>
            <w:right w:val="single" w:sz="6" w:space="0" w:color="5B616B"/>
          </w:divBdr>
        </w:div>
        <w:div w:id="507644128">
          <w:marLeft w:val="0"/>
          <w:marRight w:val="0"/>
          <w:marTop w:val="0"/>
          <w:marBottom w:val="0"/>
          <w:divBdr>
            <w:top w:val="none" w:sz="0" w:space="0" w:color="auto"/>
            <w:left w:val="none" w:sz="0" w:space="0" w:color="auto"/>
            <w:bottom w:val="none" w:sz="0" w:space="0" w:color="auto"/>
            <w:right w:val="none" w:sz="0" w:space="0" w:color="auto"/>
          </w:divBdr>
        </w:div>
      </w:divsChild>
    </w:div>
    <w:div w:id="212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49249831">
          <w:marLeft w:val="0"/>
          <w:marRight w:val="0"/>
          <w:marTop w:val="0"/>
          <w:marBottom w:val="0"/>
          <w:divBdr>
            <w:top w:val="none" w:sz="0" w:space="0" w:color="auto"/>
            <w:left w:val="none" w:sz="0" w:space="0" w:color="auto"/>
            <w:bottom w:val="none" w:sz="0" w:space="0" w:color="auto"/>
            <w:right w:val="none" w:sz="0" w:space="0" w:color="auto"/>
          </w:divBdr>
          <w:divsChild>
            <w:div w:id="290747710">
              <w:marLeft w:val="0"/>
              <w:marRight w:val="0"/>
              <w:marTop w:val="0"/>
              <w:marBottom w:val="0"/>
              <w:divBdr>
                <w:top w:val="none" w:sz="0" w:space="0" w:color="auto"/>
                <w:left w:val="none" w:sz="0" w:space="0" w:color="auto"/>
                <w:bottom w:val="none" w:sz="0" w:space="0" w:color="auto"/>
                <w:right w:val="none" w:sz="0" w:space="0" w:color="auto"/>
              </w:divBdr>
              <w:divsChild>
                <w:div w:id="12618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ciapawitr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nadianatif@ft.unmul.ac.id" TargetMode="External"/><Relationship Id="rId5" Type="http://schemas.openxmlformats.org/officeDocument/2006/relationships/hyperlink" Target="mailto:mayestikayunii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BA59-9F94-6444-9B4D-BAD2FEEC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2022-11-07T16:08:00Z</dcterms:created>
  <dcterms:modified xsi:type="dcterms:W3CDTF">2022-11-07T16:08:00Z</dcterms:modified>
</cp:coreProperties>
</file>