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9691FB" w14:textId="77777777" w:rsidR="009D3F63" w:rsidRPr="009F7EFD" w:rsidRDefault="00264603" w:rsidP="008A6E42">
      <w:pPr>
        <w:pStyle w:val="PaperTitle"/>
        <w:spacing w:before="0"/>
        <w:rPr>
          <w:sz w:val="32"/>
          <w:szCs w:val="18"/>
        </w:rPr>
      </w:pPr>
      <w:bookmarkStart w:id="0" w:name="_Hlk79123367"/>
      <w:bookmarkEnd w:id="0"/>
      <w:r w:rsidRPr="009F7EFD">
        <w:rPr>
          <w:sz w:val="32"/>
          <w:szCs w:val="18"/>
        </w:rPr>
        <w:t xml:space="preserve">Comparison of Ergonomic Evaluation Tools (AULA and RULA) for Assessing Work-Related Musculoskeletal Disorders (WMSDs) in Oyster Mushroom Farmers </w:t>
      </w:r>
    </w:p>
    <w:p w14:paraId="256B11F8" w14:textId="77777777" w:rsidR="009D3F63" w:rsidRDefault="00264603" w:rsidP="009D3F63">
      <w:pPr>
        <w:ind w:firstLine="227"/>
        <w:jc w:val="center"/>
        <w:rPr>
          <w:sz w:val="32"/>
          <w:szCs w:val="18"/>
        </w:rPr>
      </w:pPr>
      <w:r w:rsidRPr="009F7EFD">
        <w:rPr>
          <w:sz w:val="32"/>
          <w:szCs w:val="18"/>
        </w:rPr>
        <w:t>(</w:t>
      </w:r>
      <w:proofErr w:type="spellStart"/>
      <w:r w:rsidRPr="009F7EFD">
        <w:rPr>
          <w:sz w:val="32"/>
          <w:szCs w:val="18"/>
        </w:rPr>
        <w:t>Case</w:t>
      </w:r>
      <w:proofErr w:type="spellEnd"/>
      <w:r w:rsidRPr="009F7EFD">
        <w:rPr>
          <w:sz w:val="32"/>
          <w:szCs w:val="18"/>
        </w:rPr>
        <w:t xml:space="preserve"> Study of </w:t>
      </w:r>
      <w:proofErr w:type="spellStart"/>
      <w:r w:rsidRPr="009F7EFD">
        <w:rPr>
          <w:sz w:val="32"/>
          <w:szCs w:val="18"/>
        </w:rPr>
        <w:t>Oyster</w:t>
      </w:r>
      <w:proofErr w:type="spellEnd"/>
      <w:r w:rsidRPr="009F7EFD">
        <w:rPr>
          <w:sz w:val="32"/>
          <w:szCs w:val="18"/>
        </w:rPr>
        <w:t xml:space="preserve"> </w:t>
      </w:r>
      <w:proofErr w:type="spellStart"/>
      <w:r w:rsidRPr="009F7EFD">
        <w:rPr>
          <w:sz w:val="32"/>
          <w:szCs w:val="18"/>
        </w:rPr>
        <w:t>Mushroom</w:t>
      </w:r>
      <w:proofErr w:type="spellEnd"/>
      <w:r w:rsidRPr="009F7EFD">
        <w:rPr>
          <w:sz w:val="32"/>
          <w:szCs w:val="18"/>
        </w:rPr>
        <w:t xml:space="preserve"> </w:t>
      </w:r>
      <w:proofErr w:type="spellStart"/>
      <w:r w:rsidRPr="009F7EFD">
        <w:rPr>
          <w:sz w:val="32"/>
          <w:szCs w:val="18"/>
        </w:rPr>
        <w:t>Farms</w:t>
      </w:r>
      <w:proofErr w:type="spellEnd"/>
      <w:r w:rsidRPr="009F7EFD">
        <w:rPr>
          <w:sz w:val="32"/>
          <w:szCs w:val="18"/>
        </w:rPr>
        <w:t xml:space="preserve"> in </w:t>
      </w:r>
      <w:proofErr w:type="spellStart"/>
      <w:r w:rsidRPr="009F7EFD">
        <w:rPr>
          <w:sz w:val="32"/>
          <w:szCs w:val="18"/>
        </w:rPr>
        <w:t>Lempake</w:t>
      </w:r>
      <w:proofErr w:type="spellEnd"/>
      <w:r w:rsidRPr="009F7EFD">
        <w:rPr>
          <w:sz w:val="32"/>
          <w:szCs w:val="18"/>
        </w:rPr>
        <w:t xml:space="preserve"> </w:t>
      </w:r>
      <w:proofErr w:type="spellStart"/>
      <w:r w:rsidRPr="009F7EFD">
        <w:rPr>
          <w:sz w:val="32"/>
          <w:szCs w:val="18"/>
        </w:rPr>
        <w:t>Samarinda</w:t>
      </w:r>
      <w:proofErr w:type="spellEnd"/>
      <w:r w:rsidRPr="009F7EFD">
        <w:rPr>
          <w:sz w:val="32"/>
          <w:szCs w:val="18"/>
        </w:rPr>
        <w:t xml:space="preserve">) </w:t>
      </w:r>
    </w:p>
    <w:p w14:paraId="179D0B06" w14:textId="77777777" w:rsidR="00C1046C" w:rsidRDefault="00C1046C" w:rsidP="009D3F63">
      <w:pPr>
        <w:ind w:firstLine="227"/>
        <w:jc w:val="center"/>
      </w:pPr>
    </w:p>
    <w:p w14:paraId="7EBC93EE" w14:textId="77777777" w:rsidR="00C1046C" w:rsidRDefault="00264603" w:rsidP="009D3F63">
      <w:pPr>
        <w:ind w:firstLine="227"/>
        <w:jc w:val="center"/>
      </w:pPr>
      <w:proofErr w:type="spellStart"/>
      <w:r>
        <w:t>Theresia</w:t>
      </w:r>
      <w:proofErr w:type="spellEnd"/>
      <w:r>
        <w:t xml:space="preserve"> </w:t>
      </w:r>
      <w:proofErr w:type="spellStart"/>
      <w:r>
        <w:t>Amelia</w:t>
      </w:r>
      <w:proofErr w:type="spellEnd"/>
      <w:r>
        <w:t xml:space="preserve"> Pawitra</w:t>
      </w:r>
      <w:r>
        <w:rPr>
          <w:vertAlign w:val="superscript"/>
        </w:rPr>
        <w:t>1</w:t>
      </w:r>
      <w:r w:rsidRPr="2F830975">
        <w:rPr>
          <w:vertAlign w:val="superscript"/>
        </w:rPr>
        <w:t>,</w:t>
      </w:r>
      <w:r>
        <w:rPr>
          <w:vertAlign w:val="superscript"/>
        </w:rPr>
        <w:t>a</w:t>
      </w:r>
      <w:r w:rsidRPr="2F830975">
        <w:rPr>
          <w:vertAlign w:val="superscript"/>
        </w:rPr>
        <w:t>)</w:t>
      </w:r>
      <w:r>
        <w:t xml:space="preserve">, </w:t>
      </w:r>
      <w:proofErr w:type="spellStart"/>
      <w:r>
        <w:t>Lina</w:t>
      </w:r>
      <w:proofErr w:type="spellEnd"/>
      <w:r>
        <w:t xml:space="preserve"> </w:t>
      </w:r>
      <w:proofErr w:type="spellStart"/>
      <w:r>
        <w:t>Dianati</w:t>
      </w:r>
      <w:proofErr w:type="spellEnd"/>
      <w:r>
        <w:t xml:space="preserve"> Fathima</w:t>
      </w:r>
      <w:r>
        <w:t>hhayati</w:t>
      </w:r>
      <w:r>
        <w:rPr>
          <w:vertAlign w:val="superscript"/>
        </w:rPr>
        <w:t>2</w:t>
      </w:r>
      <w:r w:rsidRPr="2F830975">
        <w:rPr>
          <w:vertAlign w:val="superscript"/>
        </w:rPr>
        <w:t>,</w:t>
      </w:r>
      <w:r>
        <w:rPr>
          <w:vertAlign w:val="superscript"/>
        </w:rPr>
        <w:t>b</w:t>
      </w:r>
      <w:r w:rsidRPr="2F830975">
        <w:rPr>
          <w:vertAlign w:val="superscript"/>
        </w:rPr>
        <w:t>)</w:t>
      </w:r>
      <w:r>
        <w:t xml:space="preserve">, </w:t>
      </w:r>
      <w:proofErr w:type="spellStart"/>
      <w:r>
        <w:t>Mayestika</w:t>
      </w:r>
      <w:proofErr w:type="spellEnd"/>
      <w:r>
        <w:t xml:space="preserve"> </w:t>
      </w:r>
      <w:proofErr w:type="spellStart"/>
      <w:r>
        <w:t>Ayuni</w:t>
      </w:r>
      <w:proofErr w:type="spellEnd"/>
      <w:r>
        <w:t xml:space="preserve"> Fariza</w:t>
      </w:r>
      <w:r>
        <w:rPr>
          <w:vertAlign w:val="superscript"/>
        </w:rPr>
        <w:t>3</w:t>
      </w:r>
      <w:r w:rsidRPr="2F830975">
        <w:rPr>
          <w:vertAlign w:val="superscript"/>
        </w:rPr>
        <w:t xml:space="preserve">, </w:t>
      </w:r>
      <w:r>
        <w:rPr>
          <w:vertAlign w:val="superscript"/>
        </w:rPr>
        <w:t>c</w:t>
      </w:r>
      <w:r w:rsidRPr="2F830975">
        <w:rPr>
          <w:vertAlign w:val="superscript"/>
        </w:rPr>
        <w:t>)</w:t>
      </w:r>
      <w:r>
        <w:t xml:space="preserve"> </w:t>
      </w:r>
      <w:r w:rsidR="006743EB">
        <w:t xml:space="preserve"> </w:t>
      </w:r>
    </w:p>
    <w:p w14:paraId="23841EDA" w14:textId="77777777" w:rsidR="009D3F63" w:rsidRDefault="00264603" w:rsidP="009D3F63">
      <w:pPr>
        <w:pStyle w:val="AuthorAffiliation"/>
      </w:pPr>
      <w:r>
        <w:t>*</w:t>
      </w:r>
      <w:r w:rsidRPr="009D3F63">
        <w:t xml:space="preserve"> </w:t>
      </w:r>
      <w:r>
        <w:t xml:space="preserve">Emails: </w:t>
      </w:r>
      <w:r w:rsidRPr="00075EA6">
        <w:rPr>
          <w:szCs w:val="28"/>
          <w:vertAlign w:val="superscript"/>
        </w:rPr>
        <w:t>a)</w:t>
      </w:r>
      <w:hyperlink r:id="rId8" w:history="1">
        <w:r w:rsidRPr="00B75225">
          <w:rPr>
            <w:rStyle w:val="Hyperlink"/>
          </w:rPr>
          <w:t>triciapawitra@gmail.com</w:t>
        </w:r>
      </w:hyperlink>
      <w:r>
        <w:rPr>
          <w:rStyle w:val="Hyperlink"/>
        </w:rPr>
        <w:t xml:space="preserve">, </w:t>
      </w:r>
      <w:r w:rsidRPr="00075EA6">
        <w:rPr>
          <w:szCs w:val="28"/>
          <w:vertAlign w:val="superscript"/>
        </w:rPr>
        <w:t>b)</w:t>
      </w:r>
      <w:hyperlink r:id="rId9" w:history="1">
        <w:r w:rsidRPr="00B75225">
          <w:rPr>
            <w:rStyle w:val="Hyperlink"/>
          </w:rPr>
          <w:t>linadianatif@ft.unmul.ac.id</w:t>
        </w:r>
      </w:hyperlink>
      <w:r>
        <w:rPr>
          <w:rStyle w:val="Hyperlink"/>
        </w:rPr>
        <w:t xml:space="preserve">, </w:t>
      </w:r>
      <w:r w:rsidRPr="006F0566">
        <w:rPr>
          <w:vertAlign w:val="superscript"/>
        </w:rPr>
        <w:t>c)</w:t>
      </w:r>
      <w:hyperlink r:id="rId10" w:history="1">
        <w:r w:rsidRPr="00B75225">
          <w:rPr>
            <w:rStyle w:val="Hyperlink"/>
          </w:rPr>
          <w:t>mayestikayuniii@gmail.com</w:t>
        </w:r>
      </w:hyperlink>
    </w:p>
    <w:p w14:paraId="1EA061BF" w14:textId="77777777" w:rsidR="00C1046C" w:rsidRDefault="00C1046C">
      <w:pPr>
        <w:ind w:firstLine="227"/>
        <w:jc w:val="center"/>
      </w:pPr>
    </w:p>
    <w:p w14:paraId="09D299FB" w14:textId="77777777" w:rsidR="009D3F63" w:rsidRDefault="00264603" w:rsidP="009D3F63">
      <w:pPr>
        <w:pStyle w:val="AuthorAffiliation"/>
      </w:pPr>
      <w:r w:rsidRPr="00075EA6">
        <w:rPr>
          <w:i w:val="0"/>
          <w:iCs/>
          <w:vertAlign w:val="superscript"/>
        </w:rPr>
        <w:t>1</w:t>
      </w:r>
      <w:r>
        <w:rPr>
          <w:i w:val="0"/>
          <w:iCs/>
          <w:vertAlign w:val="superscript"/>
        </w:rPr>
        <w:t>,2,3</w:t>
      </w:r>
      <w:r>
        <w:t xml:space="preserve">Department of Industrial Engineering, University of </w:t>
      </w:r>
      <w:proofErr w:type="spellStart"/>
      <w:r>
        <w:t>Mulawarman</w:t>
      </w:r>
      <w:proofErr w:type="spellEnd"/>
    </w:p>
    <w:p w14:paraId="6F69F17F" w14:textId="77777777" w:rsidR="009D3F63" w:rsidRPr="00075EA6" w:rsidRDefault="00264603" w:rsidP="009D3F63">
      <w:pPr>
        <w:pStyle w:val="AuthorAffiliation"/>
      </w:pPr>
      <w:r>
        <w:t xml:space="preserve">Jalan </w:t>
      </w:r>
      <w:proofErr w:type="spellStart"/>
      <w:r>
        <w:t>Sambaliung</w:t>
      </w:r>
      <w:proofErr w:type="spellEnd"/>
      <w:r>
        <w:t xml:space="preserve"> No.9, </w:t>
      </w:r>
      <w:proofErr w:type="spellStart"/>
      <w:r>
        <w:t>Kampus</w:t>
      </w:r>
      <w:proofErr w:type="spellEnd"/>
      <w:r>
        <w:t xml:space="preserve"> </w:t>
      </w:r>
      <w:proofErr w:type="spellStart"/>
      <w:r>
        <w:t>Gunung</w:t>
      </w:r>
      <w:proofErr w:type="spellEnd"/>
      <w:r>
        <w:t xml:space="preserve"> </w:t>
      </w:r>
      <w:proofErr w:type="spellStart"/>
      <w:r>
        <w:t>Kelua</w:t>
      </w:r>
      <w:proofErr w:type="spellEnd"/>
      <w:r>
        <w:t xml:space="preserve">, </w:t>
      </w:r>
      <w:proofErr w:type="spellStart"/>
      <w:r>
        <w:t>Samarinda</w:t>
      </w:r>
      <w:proofErr w:type="spellEnd"/>
      <w:r>
        <w:t>, Indonesia</w:t>
      </w:r>
      <w:r w:rsidRPr="00075EA6">
        <w:t xml:space="preserve"> </w:t>
      </w:r>
    </w:p>
    <w:p w14:paraId="4E6281A2" w14:textId="124A1CF1" w:rsidR="009D3F63" w:rsidRDefault="00264603" w:rsidP="00624DB7">
      <w:pPr>
        <w:pStyle w:val="Abstract"/>
        <w:ind w:left="630" w:right="577"/>
        <w:rPr>
          <w:szCs w:val="18"/>
        </w:rPr>
      </w:pPr>
      <w:r>
        <w:rPr>
          <w:b/>
          <w:szCs w:val="18"/>
        </w:rPr>
        <w:t>Abstract.</w:t>
      </w:r>
      <w:r>
        <w:rPr>
          <w:szCs w:val="18"/>
        </w:rPr>
        <w:t xml:space="preserve"> </w:t>
      </w:r>
      <w:r w:rsidRPr="00EA20AB">
        <w:rPr>
          <w:szCs w:val="18"/>
        </w:rPr>
        <w:t xml:space="preserve">Agriculture is </w:t>
      </w:r>
      <w:r>
        <w:rPr>
          <w:szCs w:val="18"/>
        </w:rPr>
        <w:t>a challenging sector in which farmers have</w:t>
      </w:r>
      <w:r w:rsidRPr="00EA20AB">
        <w:rPr>
          <w:szCs w:val="18"/>
        </w:rPr>
        <w:t xml:space="preserve"> </w:t>
      </w:r>
      <w:r>
        <w:rPr>
          <w:szCs w:val="18"/>
        </w:rPr>
        <w:t xml:space="preserve">the </w:t>
      </w:r>
      <w:r w:rsidRPr="00EA20AB">
        <w:rPr>
          <w:szCs w:val="18"/>
        </w:rPr>
        <w:t xml:space="preserve">potential risk of </w:t>
      </w:r>
      <w:r w:rsidRPr="00EA20AB">
        <w:rPr>
          <w:szCs w:val="18"/>
        </w:rPr>
        <w:t>musculoskeletal disorders</w:t>
      </w:r>
      <w:r>
        <w:rPr>
          <w:szCs w:val="18"/>
        </w:rPr>
        <w:t>, since their working conditions require awkward static postures. Likewise, o</w:t>
      </w:r>
      <w:r w:rsidRPr="002878A6">
        <w:rPr>
          <w:szCs w:val="18"/>
        </w:rPr>
        <w:t xml:space="preserve">yster </w:t>
      </w:r>
      <w:r>
        <w:rPr>
          <w:szCs w:val="18"/>
        </w:rPr>
        <w:t>m</w:t>
      </w:r>
      <w:r w:rsidRPr="002878A6">
        <w:rPr>
          <w:szCs w:val="18"/>
        </w:rPr>
        <w:t>ushroom</w:t>
      </w:r>
      <w:r>
        <w:rPr>
          <w:szCs w:val="18"/>
        </w:rPr>
        <w:t xml:space="preserve"> farmers suffered from musculoskeletal disorders in most agricultural work. </w:t>
      </w:r>
      <w:r w:rsidRPr="002878A6">
        <w:rPr>
          <w:szCs w:val="18"/>
        </w:rPr>
        <w:t>Oyster mushroom cultivation activities</w:t>
      </w:r>
      <w:r>
        <w:rPr>
          <w:szCs w:val="18"/>
        </w:rPr>
        <w:t xml:space="preserve"> mostly </w:t>
      </w:r>
      <w:r w:rsidRPr="002878A6">
        <w:rPr>
          <w:szCs w:val="18"/>
        </w:rPr>
        <w:t xml:space="preserve">use the </w:t>
      </w:r>
      <w:r w:rsidRPr="00553A20">
        <w:rPr>
          <w:szCs w:val="18"/>
        </w:rPr>
        <w:t>upper extr</w:t>
      </w:r>
      <w:r w:rsidRPr="00553A20">
        <w:rPr>
          <w:szCs w:val="18"/>
        </w:rPr>
        <w:t>emit</w:t>
      </w:r>
      <w:r>
        <w:rPr>
          <w:szCs w:val="18"/>
        </w:rPr>
        <w:t xml:space="preserve">ies segments and involve stooped posture and repetitive manual tasks. Therefore, these activities </w:t>
      </w:r>
      <w:r w:rsidRPr="002878A6">
        <w:rPr>
          <w:szCs w:val="18"/>
        </w:rPr>
        <w:t xml:space="preserve">trigger the occurrence of </w:t>
      </w:r>
      <w:r>
        <w:rPr>
          <w:szCs w:val="18"/>
        </w:rPr>
        <w:t>MSD</w:t>
      </w:r>
      <w:r w:rsidRPr="002878A6">
        <w:rPr>
          <w:szCs w:val="18"/>
        </w:rPr>
        <w:t xml:space="preserve"> among oyster mushroom farmers.</w:t>
      </w:r>
      <w:r>
        <w:rPr>
          <w:szCs w:val="18"/>
        </w:rPr>
        <w:t xml:space="preserve"> AULA (Agricultural Upper Limb Assessment) and RULA (Rapid Upper Limb Assessment) are two tech</w:t>
      </w:r>
      <w:r>
        <w:rPr>
          <w:szCs w:val="18"/>
        </w:rPr>
        <w:t xml:space="preserve">niques frequently used to evaluate the MSD potential risks in upper limb burdening works. This study </w:t>
      </w:r>
      <w:r w:rsidRPr="00CC345F">
        <w:rPr>
          <w:szCs w:val="18"/>
        </w:rPr>
        <w:t xml:space="preserve">compares </w:t>
      </w:r>
      <w:r>
        <w:rPr>
          <w:szCs w:val="18"/>
        </w:rPr>
        <w:t>these two ergonomic evaluation tools, i.e.,</w:t>
      </w:r>
      <w:r w:rsidRPr="00CC345F">
        <w:rPr>
          <w:szCs w:val="18"/>
        </w:rPr>
        <w:t xml:space="preserve"> A</w:t>
      </w:r>
      <w:r>
        <w:rPr>
          <w:szCs w:val="18"/>
        </w:rPr>
        <w:t>ULA and</w:t>
      </w:r>
      <w:r w:rsidRPr="00CC345F">
        <w:rPr>
          <w:szCs w:val="18"/>
        </w:rPr>
        <w:t xml:space="preserve"> RUL</w:t>
      </w:r>
      <w:r>
        <w:rPr>
          <w:szCs w:val="18"/>
        </w:rPr>
        <w:t>A, to</w:t>
      </w:r>
      <w:r w:rsidRPr="00542D1C">
        <w:rPr>
          <w:szCs w:val="18"/>
        </w:rPr>
        <w:t xml:space="preserve"> </w:t>
      </w:r>
      <w:r>
        <w:rPr>
          <w:szCs w:val="18"/>
        </w:rPr>
        <w:t>find</w:t>
      </w:r>
      <w:r w:rsidRPr="00CC345F">
        <w:rPr>
          <w:szCs w:val="18"/>
        </w:rPr>
        <w:t xml:space="preserve"> </w:t>
      </w:r>
      <w:r>
        <w:rPr>
          <w:szCs w:val="18"/>
        </w:rPr>
        <w:t xml:space="preserve">the </w:t>
      </w:r>
      <w:r w:rsidRPr="00CC345F">
        <w:rPr>
          <w:szCs w:val="18"/>
        </w:rPr>
        <w:t xml:space="preserve">most suitable method for assessing </w:t>
      </w:r>
      <w:r>
        <w:rPr>
          <w:szCs w:val="18"/>
        </w:rPr>
        <w:t xml:space="preserve">WMSD in </w:t>
      </w:r>
      <w:r w:rsidRPr="00CC345F">
        <w:rPr>
          <w:szCs w:val="18"/>
        </w:rPr>
        <w:t>oyster mushroom farmers</w:t>
      </w:r>
      <w:r>
        <w:rPr>
          <w:szCs w:val="18"/>
        </w:rPr>
        <w:t xml:space="preserve">. </w:t>
      </w:r>
      <w:r w:rsidRPr="00CC345F">
        <w:rPr>
          <w:szCs w:val="18"/>
        </w:rPr>
        <w:t>The com</w:t>
      </w:r>
      <w:r w:rsidRPr="00CC345F">
        <w:rPr>
          <w:szCs w:val="18"/>
        </w:rPr>
        <w:t>parison was conducted based on experts' evaluation of 2</w:t>
      </w:r>
      <w:r w:rsidR="0053550F">
        <w:rPr>
          <w:szCs w:val="18"/>
        </w:rPr>
        <w:t>6</w:t>
      </w:r>
      <w:r w:rsidRPr="00CC345F">
        <w:rPr>
          <w:szCs w:val="18"/>
        </w:rPr>
        <w:t xml:space="preserve"> activities in </w:t>
      </w:r>
      <w:r>
        <w:rPr>
          <w:szCs w:val="18"/>
        </w:rPr>
        <w:t xml:space="preserve">the </w:t>
      </w:r>
      <w:r w:rsidRPr="00CC345F">
        <w:rPr>
          <w:szCs w:val="18"/>
        </w:rPr>
        <w:t xml:space="preserve">oyster mushroom </w:t>
      </w:r>
      <w:r>
        <w:rPr>
          <w:szCs w:val="18"/>
        </w:rPr>
        <w:t>cultivation</w:t>
      </w:r>
      <w:r w:rsidRPr="00CC345F">
        <w:rPr>
          <w:szCs w:val="18"/>
        </w:rPr>
        <w:t xml:space="preserve"> process. </w:t>
      </w:r>
      <w:r>
        <w:t>Twelve experienced experts in ergonomics</w:t>
      </w:r>
      <w:r w:rsidRPr="002542EB">
        <w:t>, safety and health</w:t>
      </w:r>
      <w:r>
        <w:t xml:space="preserve">, </w:t>
      </w:r>
      <w:r w:rsidRPr="002542EB">
        <w:t>and agricultur</w:t>
      </w:r>
      <w:r>
        <w:t>e</w:t>
      </w:r>
      <w:r w:rsidRPr="002542EB">
        <w:t xml:space="preserve"> </w:t>
      </w:r>
      <w:r>
        <w:t>were involved in this study,</w:t>
      </w:r>
      <w:r>
        <w:rPr>
          <w:szCs w:val="18"/>
        </w:rPr>
        <w:t xml:space="preserve"> and f</w:t>
      </w:r>
      <w:r w:rsidRPr="00CC345F">
        <w:rPr>
          <w:szCs w:val="18"/>
        </w:rPr>
        <w:t xml:space="preserve">our oyster mushroom farms in </w:t>
      </w:r>
      <w:proofErr w:type="spellStart"/>
      <w:r w:rsidRPr="00CC345F">
        <w:rPr>
          <w:szCs w:val="18"/>
        </w:rPr>
        <w:t>Lemp</w:t>
      </w:r>
      <w:r w:rsidRPr="00CC345F">
        <w:rPr>
          <w:szCs w:val="18"/>
        </w:rPr>
        <w:t>ake</w:t>
      </w:r>
      <w:proofErr w:type="spellEnd"/>
      <w:r w:rsidRPr="00CC345F">
        <w:rPr>
          <w:szCs w:val="18"/>
        </w:rPr>
        <w:t xml:space="preserve"> </w:t>
      </w:r>
      <w:proofErr w:type="spellStart"/>
      <w:r w:rsidRPr="00CC345F">
        <w:rPr>
          <w:szCs w:val="18"/>
        </w:rPr>
        <w:t>Samarinda</w:t>
      </w:r>
      <w:proofErr w:type="spellEnd"/>
      <w:r w:rsidRPr="00CC345F">
        <w:rPr>
          <w:szCs w:val="18"/>
        </w:rPr>
        <w:t xml:space="preserve"> were observed to identify the activities</w:t>
      </w:r>
      <w:r>
        <w:rPr>
          <w:szCs w:val="18"/>
        </w:rPr>
        <w:t xml:space="preserve">. </w:t>
      </w:r>
      <w:r w:rsidRPr="00CC345F">
        <w:rPr>
          <w:szCs w:val="18"/>
        </w:rPr>
        <w:t xml:space="preserve">Hit rate, quadratic weighted κ, and </w:t>
      </w:r>
      <w:r>
        <w:rPr>
          <w:szCs w:val="18"/>
        </w:rPr>
        <w:t>independent t-test</w:t>
      </w:r>
      <w:r w:rsidRPr="00CC345F">
        <w:rPr>
          <w:szCs w:val="18"/>
        </w:rPr>
        <w:t xml:space="preserve"> were applied to compare the </w:t>
      </w:r>
      <w:r>
        <w:rPr>
          <w:szCs w:val="18"/>
        </w:rPr>
        <w:t xml:space="preserve">two </w:t>
      </w:r>
      <w:r w:rsidRPr="00CC345F">
        <w:rPr>
          <w:szCs w:val="18"/>
        </w:rPr>
        <w:t xml:space="preserve">methods. The result of </w:t>
      </w:r>
      <w:r>
        <w:rPr>
          <w:szCs w:val="18"/>
        </w:rPr>
        <w:t xml:space="preserve">the </w:t>
      </w:r>
      <w:r w:rsidRPr="00CC345F">
        <w:rPr>
          <w:szCs w:val="18"/>
        </w:rPr>
        <w:t xml:space="preserve">hit rate showed that the </w:t>
      </w:r>
      <w:r>
        <w:rPr>
          <w:szCs w:val="18"/>
        </w:rPr>
        <w:t xml:space="preserve">hit </w:t>
      </w:r>
      <w:r w:rsidRPr="00CC345F">
        <w:rPr>
          <w:szCs w:val="18"/>
        </w:rPr>
        <w:t>rate of A</w:t>
      </w:r>
      <w:r>
        <w:rPr>
          <w:szCs w:val="18"/>
        </w:rPr>
        <w:t>ULA</w:t>
      </w:r>
      <w:r w:rsidRPr="00CC345F">
        <w:rPr>
          <w:szCs w:val="18"/>
        </w:rPr>
        <w:t xml:space="preserve"> (average: 7</w:t>
      </w:r>
      <w:r>
        <w:rPr>
          <w:szCs w:val="18"/>
        </w:rPr>
        <w:t>3</w:t>
      </w:r>
      <w:r w:rsidRPr="00CC345F">
        <w:rPr>
          <w:szCs w:val="18"/>
        </w:rPr>
        <w:t>%) was higher than R</w:t>
      </w:r>
      <w:r>
        <w:rPr>
          <w:szCs w:val="18"/>
        </w:rPr>
        <w:t>ULA</w:t>
      </w:r>
      <w:r w:rsidRPr="00CC345F">
        <w:rPr>
          <w:szCs w:val="18"/>
        </w:rPr>
        <w:t xml:space="preserve"> (</w:t>
      </w:r>
      <w:r>
        <w:rPr>
          <w:szCs w:val="18"/>
        </w:rPr>
        <w:t>average</w:t>
      </w:r>
      <w:r>
        <w:rPr>
          <w:szCs w:val="18"/>
        </w:rPr>
        <w:t>: 62</w:t>
      </w:r>
      <w:r w:rsidRPr="00CC345F">
        <w:rPr>
          <w:szCs w:val="18"/>
        </w:rPr>
        <w:t>%)</w:t>
      </w:r>
      <w:r>
        <w:rPr>
          <w:szCs w:val="18"/>
        </w:rPr>
        <w:t xml:space="preserve">. </w:t>
      </w:r>
      <w:r w:rsidRPr="00CC345F">
        <w:rPr>
          <w:szCs w:val="18"/>
        </w:rPr>
        <w:t>The quadratic weight</w:t>
      </w:r>
      <w:r>
        <w:rPr>
          <w:szCs w:val="18"/>
        </w:rPr>
        <w:t>ed</w:t>
      </w:r>
      <w:r w:rsidRPr="00CC345F">
        <w:rPr>
          <w:szCs w:val="18"/>
        </w:rPr>
        <w:t xml:space="preserve"> of Kappa analysis also showed that the Kappa value of A</w:t>
      </w:r>
      <w:r>
        <w:rPr>
          <w:szCs w:val="18"/>
        </w:rPr>
        <w:t>ULA</w:t>
      </w:r>
      <w:r w:rsidRPr="00CC345F">
        <w:rPr>
          <w:szCs w:val="18"/>
        </w:rPr>
        <w:t xml:space="preserve"> (0.4</w:t>
      </w:r>
      <w:r w:rsidR="002E3707">
        <w:rPr>
          <w:szCs w:val="18"/>
        </w:rPr>
        <w:t>83</w:t>
      </w:r>
      <w:r w:rsidRPr="00CC345F">
        <w:rPr>
          <w:szCs w:val="18"/>
        </w:rPr>
        <w:t xml:space="preserve">) was higher than </w:t>
      </w:r>
      <w:r>
        <w:rPr>
          <w:szCs w:val="18"/>
        </w:rPr>
        <w:t>RULA</w:t>
      </w:r>
      <w:r w:rsidRPr="00CC345F">
        <w:rPr>
          <w:szCs w:val="18"/>
        </w:rPr>
        <w:t xml:space="preserve"> (0.2</w:t>
      </w:r>
      <w:r>
        <w:rPr>
          <w:szCs w:val="18"/>
        </w:rPr>
        <w:t>61</w:t>
      </w:r>
      <w:r w:rsidRPr="00CC345F">
        <w:rPr>
          <w:szCs w:val="18"/>
        </w:rPr>
        <w:t xml:space="preserve">). </w:t>
      </w:r>
      <w:r>
        <w:rPr>
          <w:szCs w:val="18"/>
        </w:rPr>
        <w:t xml:space="preserve">Based on these results, </w:t>
      </w:r>
      <w:r w:rsidRPr="008162CF">
        <w:rPr>
          <w:szCs w:val="18"/>
        </w:rPr>
        <w:t>AULA has a moderate level of agreement while RULA has an acceptable level of agreement.</w:t>
      </w:r>
      <w:r>
        <w:rPr>
          <w:szCs w:val="18"/>
        </w:rPr>
        <w:t xml:space="preserve"> </w:t>
      </w:r>
      <w:r w:rsidRPr="00CC345F">
        <w:rPr>
          <w:szCs w:val="18"/>
        </w:rPr>
        <w:t xml:space="preserve">Furthermore, </w:t>
      </w:r>
      <w:r>
        <w:rPr>
          <w:szCs w:val="18"/>
        </w:rPr>
        <w:t>t</w:t>
      </w:r>
      <w:r w:rsidRPr="000C31EC">
        <w:rPr>
          <w:szCs w:val="18"/>
        </w:rPr>
        <w:t xml:space="preserve">he independent t-test test showed the </w:t>
      </w:r>
      <w:r>
        <w:rPr>
          <w:szCs w:val="18"/>
        </w:rPr>
        <w:t>scores</w:t>
      </w:r>
      <w:r w:rsidRPr="000C31EC">
        <w:rPr>
          <w:szCs w:val="18"/>
        </w:rPr>
        <w:t xml:space="preserve"> of </w:t>
      </w:r>
      <w:proofErr w:type="gramStart"/>
      <w:r w:rsidRPr="000C31EC">
        <w:rPr>
          <w:szCs w:val="18"/>
        </w:rPr>
        <w:t>AUL</w:t>
      </w:r>
      <w:r w:rsidR="00831027">
        <w:rPr>
          <w:szCs w:val="18"/>
        </w:rPr>
        <w:t>A</w:t>
      </w:r>
      <w:proofErr w:type="gramEnd"/>
      <w:r w:rsidR="00831027">
        <w:rPr>
          <w:szCs w:val="18"/>
        </w:rPr>
        <w:t xml:space="preserve"> </w:t>
      </w:r>
      <w:r w:rsidRPr="000C31EC">
        <w:rPr>
          <w:szCs w:val="18"/>
        </w:rPr>
        <w:t>and RULA were not significantly different from experts; as well as AULA score w</w:t>
      </w:r>
      <w:r>
        <w:rPr>
          <w:szCs w:val="18"/>
        </w:rPr>
        <w:t>as</w:t>
      </w:r>
      <w:r w:rsidRPr="000C31EC">
        <w:rPr>
          <w:szCs w:val="18"/>
        </w:rPr>
        <w:t xml:space="preserve"> not significantly different</w:t>
      </w:r>
      <w:r>
        <w:rPr>
          <w:szCs w:val="18"/>
        </w:rPr>
        <w:t xml:space="preserve"> from RULA</w:t>
      </w:r>
      <w:r w:rsidRPr="000C31EC">
        <w:rPr>
          <w:szCs w:val="18"/>
        </w:rPr>
        <w:t>.</w:t>
      </w:r>
      <w:r>
        <w:rPr>
          <w:szCs w:val="18"/>
        </w:rPr>
        <w:t xml:space="preserve"> </w:t>
      </w:r>
      <w:r w:rsidRPr="00CC345F">
        <w:rPr>
          <w:szCs w:val="18"/>
        </w:rPr>
        <w:t>These findings conclude</w:t>
      </w:r>
      <w:r>
        <w:rPr>
          <w:szCs w:val="18"/>
        </w:rPr>
        <w:t xml:space="preserve">d </w:t>
      </w:r>
      <w:r w:rsidRPr="00CC345F">
        <w:rPr>
          <w:szCs w:val="18"/>
        </w:rPr>
        <w:t xml:space="preserve">that </w:t>
      </w:r>
      <w:r>
        <w:rPr>
          <w:szCs w:val="18"/>
        </w:rPr>
        <w:t xml:space="preserve">the </w:t>
      </w:r>
      <w:r w:rsidRPr="00CC345F">
        <w:rPr>
          <w:szCs w:val="18"/>
        </w:rPr>
        <w:t>A</w:t>
      </w:r>
      <w:r>
        <w:rPr>
          <w:szCs w:val="18"/>
        </w:rPr>
        <w:t>ULA</w:t>
      </w:r>
      <w:r w:rsidRPr="00CC345F">
        <w:rPr>
          <w:szCs w:val="18"/>
        </w:rPr>
        <w:t xml:space="preserve"> method would be </w:t>
      </w:r>
      <w:r>
        <w:rPr>
          <w:szCs w:val="18"/>
        </w:rPr>
        <w:t xml:space="preserve">the </w:t>
      </w:r>
      <w:r w:rsidRPr="00CC345F">
        <w:rPr>
          <w:szCs w:val="18"/>
        </w:rPr>
        <w:t>appropria</w:t>
      </w:r>
      <w:r w:rsidRPr="00CC345F">
        <w:rPr>
          <w:szCs w:val="18"/>
        </w:rPr>
        <w:t xml:space="preserve">te tool to </w:t>
      </w:r>
      <w:r>
        <w:rPr>
          <w:szCs w:val="18"/>
        </w:rPr>
        <w:t>evaluate</w:t>
      </w:r>
      <w:r w:rsidRPr="00CC345F">
        <w:rPr>
          <w:szCs w:val="18"/>
        </w:rPr>
        <w:t xml:space="preserve"> </w:t>
      </w:r>
      <w:r>
        <w:rPr>
          <w:szCs w:val="18"/>
        </w:rPr>
        <w:t xml:space="preserve">the WMSDs of oyster mushroom farmers in </w:t>
      </w:r>
      <w:proofErr w:type="spellStart"/>
      <w:r>
        <w:rPr>
          <w:szCs w:val="18"/>
        </w:rPr>
        <w:t>Samarinda</w:t>
      </w:r>
      <w:proofErr w:type="spellEnd"/>
      <w:r>
        <w:rPr>
          <w:szCs w:val="18"/>
        </w:rPr>
        <w:t xml:space="preserve">. </w:t>
      </w:r>
    </w:p>
    <w:p w14:paraId="3413FE4B" w14:textId="60D8A4AB" w:rsidR="009D3F63" w:rsidRDefault="00264603" w:rsidP="009D3F63">
      <w:pPr>
        <w:pStyle w:val="Abstract"/>
        <w:rPr>
          <w:szCs w:val="18"/>
        </w:rPr>
      </w:pPr>
      <w:r>
        <w:rPr>
          <w:b/>
          <w:szCs w:val="18"/>
        </w:rPr>
        <w:t xml:space="preserve">Keywords: </w:t>
      </w:r>
      <w:r>
        <w:rPr>
          <w:szCs w:val="18"/>
        </w:rPr>
        <w:t>AULA</w:t>
      </w:r>
      <w:r w:rsidRPr="00CC345F">
        <w:rPr>
          <w:szCs w:val="18"/>
        </w:rPr>
        <w:t>,</w:t>
      </w:r>
      <w:r>
        <w:rPr>
          <w:szCs w:val="18"/>
        </w:rPr>
        <w:t xml:space="preserve"> RULA,</w:t>
      </w:r>
      <w:r w:rsidRPr="00CC345F">
        <w:rPr>
          <w:szCs w:val="18"/>
        </w:rPr>
        <w:t xml:space="preserve"> </w:t>
      </w:r>
      <w:r>
        <w:rPr>
          <w:szCs w:val="18"/>
        </w:rPr>
        <w:t>M</w:t>
      </w:r>
      <w:r w:rsidRPr="00CC345F">
        <w:rPr>
          <w:szCs w:val="18"/>
        </w:rPr>
        <w:t xml:space="preserve">usculoskeletal </w:t>
      </w:r>
      <w:r>
        <w:rPr>
          <w:szCs w:val="18"/>
        </w:rPr>
        <w:t>D</w:t>
      </w:r>
      <w:r w:rsidRPr="00CC345F">
        <w:rPr>
          <w:szCs w:val="18"/>
        </w:rPr>
        <w:t>isorder</w:t>
      </w:r>
      <w:r>
        <w:rPr>
          <w:szCs w:val="18"/>
        </w:rPr>
        <w:t>s</w:t>
      </w:r>
      <w:r w:rsidRPr="00CC345F">
        <w:rPr>
          <w:szCs w:val="18"/>
        </w:rPr>
        <w:t xml:space="preserve">, </w:t>
      </w:r>
      <w:r>
        <w:rPr>
          <w:szCs w:val="18"/>
        </w:rPr>
        <w:t>O</w:t>
      </w:r>
      <w:r w:rsidRPr="00CC345F">
        <w:rPr>
          <w:szCs w:val="18"/>
        </w:rPr>
        <w:t xml:space="preserve">yster </w:t>
      </w:r>
      <w:r>
        <w:rPr>
          <w:szCs w:val="18"/>
        </w:rPr>
        <w:t>M</w:t>
      </w:r>
      <w:r w:rsidRPr="00CC345F">
        <w:rPr>
          <w:szCs w:val="18"/>
        </w:rPr>
        <w:t>ushroom</w:t>
      </w:r>
      <w:r>
        <w:rPr>
          <w:szCs w:val="18"/>
        </w:rPr>
        <w:t xml:space="preserve"> Farmers</w:t>
      </w:r>
    </w:p>
    <w:p w14:paraId="7E0F3FEF" w14:textId="77777777" w:rsidR="00C1046C" w:rsidRDefault="00264603">
      <w:pPr>
        <w:keepNext/>
        <w:keepLines/>
        <w:tabs>
          <w:tab w:val="left" w:pos="454"/>
        </w:tabs>
        <w:spacing w:before="520" w:after="280"/>
        <w:jc w:val="both"/>
      </w:pPr>
      <w:r>
        <w:rPr>
          <w:b/>
          <w:sz w:val="24"/>
          <w:szCs w:val="24"/>
        </w:rPr>
        <w:t xml:space="preserve">1   </w:t>
      </w:r>
      <w:proofErr w:type="spellStart"/>
      <w:r>
        <w:rPr>
          <w:b/>
          <w:sz w:val="24"/>
          <w:szCs w:val="24"/>
        </w:rPr>
        <w:t>Introduction</w:t>
      </w:r>
      <w:proofErr w:type="spellEnd"/>
    </w:p>
    <w:p w14:paraId="2A14B8F9" w14:textId="77777777" w:rsidR="00624DB7" w:rsidRDefault="00264603" w:rsidP="00624DB7">
      <w:pPr>
        <w:pStyle w:val="Paragraph"/>
      </w:pPr>
      <w:r>
        <w:t xml:space="preserve">The oyster mushroom </w:t>
      </w:r>
      <w:r w:rsidRPr="000235B1">
        <w:rPr>
          <w:i/>
          <w:iCs/>
        </w:rPr>
        <w:t>(</w:t>
      </w:r>
      <w:proofErr w:type="spellStart"/>
      <w:r w:rsidRPr="000235B1">
        <w:rPr>
          <w:i/>
          <w:iCs/>
        </w:rPr>
        <w:t>Pleurotus</w:t>
      </w:r>
      <w:proofErr w:type="spellEnd"/>
      <w:r w:rsidRPr="000235B1">
        <w:rPr>
          <w:i/>
          <w:iCs/>
        </w:rPr>
        <w:t xml:space="preserve"> </w:t>
      </w:r>
      <w:proofErr w:type="spellStart"/>
      <w:r w:rsidRPr="000235B1">
        <w:rPr>
          <w:i/>
          <w:iCs/>
        </w:rPr>
        <w:t>ostreatus</w:t>
      </w:r>
      <w:proofErr w:type="spellEnd"/>
      <w:r w:rsidRPr="000235B1">
        <w:rPr>
          <w:i/>
          <w:iCs/>
        </w:rPr>
        <w:t>)</w:t>
      </w:r>
      <w:r>
        <w:t xml:space="preserve"> cultivation</w:t>
      </w:r>
      <w:r w:rsidRPr="00CE60C4">
        <w:t xml:space="preserve"> sector is vital for </w:t>
      </w:r>
      <w:r>
        <w:t>E</w:t>
      </w:r>
      <w:r w:rsidRPr="00CE60C4">
        <w:t>ast Kalimantan. It</w:t>
      </w:r>
      <w:r w:rsidRPr="00CE60C4">
        <w:t xml:space="preserve"> has a high potential to improve society's economic level</w:t>
      </w:r>
      <w:r>
        <w:t xml:space="preserve"> since its sales </w:t>
      </w:r>
      <w:r w:rsidRPr="00CE60C4">
        <w:t xml:space="preserve">have not decreased </w:t>
      </w:r>
      <w:r w:rsidRPr="00CE60C4">
        <w:lastRenderedPageBreak/>
        <w:t>during this pandemic</w:t>
      </w:r>
      <w:r>
        <w:t xml:space="preserve">. </w:t>
      </w:r>
      <w:r w:rsidRPr="00CE60C4">
        <w:t>With an easy production process and stable sales in the middle of the pandemic, farmers increasingly demand this cultivation. In East Kaliman</w:t>
      </w:r>
      <w:r w:rsidRPr="00CE60C4">
        <w:t xml:space="preserve">tan, mushroom cultivation is found in </w:t>
      </w:r>
      <w:proofErr w:type="spellStart"/>
      <w:r w:rsidRPr="00CE60C4">
        <w:t>Paser</w:t>
      </w:r>
      <w:proofErr w:type="spellEnd"/>
      <w:r w:rsidRPr="00CE60C4">
        <w:t xml:space="preserve">, West </w:t>
      </w:r>
      <w:proofErr w:type="spellStart"/>
      <w:r w:rsidRPr="00CE60C4">
        <w:t>Kutai</w:t>
      </w:r>
      <w:proofErr w:type="spellEnd"/>
      <w:r w:rsidRPr="00CE60C4">
        <w:t xml:space="preserve">, </w:t>
      </w:r>
      <w:proofErr w:type="spellStart"/>
      <w:r w:rsidRPr="00CE60C4">
        <w:t>Kutai</w:t>
      </w:r>
      <w:proofErr w:type="spellEnd"/>
      <w:r w:rsidRPr="00CE60C4">
        <w:t xml:space="preserve"> </w:t>
      </w:r>
      <w:proofErr w:type="spellStart"/>
      <w:r w:rsidRPr="00CE60C4">
        <w:t>Kartanegara</w:t>
      </w:r>
      <w:proofErr w:type="spellEnd"/>
      <w:r w:rsidRPr="00CE60C4">
        <w:t xml:space="preserve">, East </w:t>
      </w:r>
      <w:proofErr w:type="spellStart"/>
      <w:r w:rsidRPr="00CE60C4">
        <w:t>Kutai</w:t>
      </w:r>
      <w:proofErr w:type="spellEnd"/>
      <w:r w:rsidRPr="00CE60C4">
        <w:t xml:space="preserve">, </w:t>
      </w:r>
      <w:proofErr w:type="spellStart"/>
      <w:r w:rsidRPr="00CE60C4">
        <w:t>Berau</w:t>
      </w:r>
      <w:proofErr w:type="spellEnd"/>
      <w:r w:rsidRPr="00CE60C4">
        <w:t xml:space="preserve">, PPU, Mahakam Ulu, Balikpapan, </w:t>
      </w:r>
      <w:proofErr w:type="spellStart"/>
      <w:r w:rsidRPr="00CE60C4">
        <w:t>Samarinda</w:t>
      </w:r>
      <w:proofErr w:type="spellEnd"/>
      <w:r w:rsidRPr="00CE60C4">
        <w:t xml:space="preserve"> and </w:t>
      </w:r>
      <w:proofErr w:type="spellStart"/>
      <w:r w:rsidRPr="00CE60C4">
        <w:t>Bontang</w:t>
      </w:r>
      <w:proofErr w:type="spellEnd"/>
      <w:r w:rsidRPr="00CE60C4">
        <w:t xml:space="preserve">. Based on data from BPS of </w:t>
      </w:r>
      <w:r>
        <w:t>E</w:t>
      </w:r>
      <w:r w:rsidRPr="00CE60C4">
        <w:t xml:space="preserve">ast Kalimantan, the mushroom harvested area in </w:t>
      </w:r>
      <w:proofErr w:type="spellStart"/>
      <w:r w:rsidRPr="00CE60C4">
        <w:t>Samarinda</w:t>
      </w:r>
      <w:proofErr w:type="spellEnd"/>
      <w:r w:rsidRPr="00CE60C4">
        <w:t xml:space="preserve"> contributed 21% to the h</w:t>
      </w:r>
      <w:r w:rsidRPr="00CE60C4">
        <w:t xml:space="preserve">arvested area in the province of East Kalimantan. In 2019 </w:t>
      </w:r>
      <w:proofErr w:type="spellStart"/>
      <w:r w:rsidRPr="00CE60C4">
        <w:t>Samarinda</w:t>
      </w:r>
      <w:proofErr w:type="spellEnd"/>
      <w:r w:rsidRPr="00CE60C4">
        <w:t xml:space="preserve"> was the highest mushroom producer compared to the nine cities in East Kalimantan. Its production was up to 11,372 kg. Its productivity level was also the highest at 44.42kg/m2 [</w:t>
      </w:r>
      <w:r>
        <w:t>1,2</w:t>
      </w:r>
      <w:r w:rsidRPr="00CE60C4">
        <w:t>].</w:t>
      </w:r>
    </w:p>
    <w:p w14:paraId="7808F9C0" w14:textId="2C0A7B6F" w:rsidR="00624DB7" w:rsidRDefault="00264603" w:rsidP="00624DB7">
      <w:pPr>
        <w:pStyle w:val="Paragraph"/>
      </w:pPr>
      <w:r>
        <w:t>Likew</w:t>
      </w:r>
      <w:r>
        <w:t>ise, work-related musculoskeletal disorder (WMSD) is also developed in oyster mushroom farmers in most agricultural work. The working condition requires non-ergonomics sitting or standing, such as bending, leaning the body or head forward, repetitively han</w:t>
      </w:r>
      <w:r>
        <w:t>d movement, and carrying heavy loads. The preliminary survey using Nordic Body Map Questionnaire</w:t>
      </w:r>
      <w:r w:rsidRPr="000235B1">
        <w:t xml:space="preserve"> </w:t>
      </w:r>
      <w:r>
        <w:t>showed</w:t>
      </w:r>
      <w:r w:rsidRPr="000235B1">
        <w:t xml:space="preserve"> several complaints of pain in several body segments after working, especially in the </w:t>
      </w:r>
      <w:r>
        <w:t xml:space="preserve">trunk and wrist. This finding was by </w:t>
      </w:r>
      <w:proofErr w:type="spellStart"/>
      <w:r>
        <w:t>D</w:t>
      </w:r>
      <w:r>
        <w:t>ianat</w:t>
      </w:r>
      <w:proofErr w:type="spellEnd"/>
      <w:r>
        <w:t xml:space="preserve"> et al. [3], who stated</w:t>
      </w:r>
      <w:r>
        <w:t xml:space="preserve"> </w:t>
      </w:r>
      <w:r w:rsidRPr="00433F9F">
        <w:t>the incidence of MSDs in Asian farmers was very high in the trunk, hands/wrist, and shoulders</w:t>
      </w:r>
      <w:r>
        <w:t>.</w:t>
      </w:r>
    </w:p>
    <w:p w14:paraId="0B623E07" w14:textId="77777777" w:rsidR="00ED391B" w:rsidRDefault="00264603" w:rsidP="00ED391B">
      <w:pPr>
        <w:pStyle w:val="Paragraph"/>
      </w:pPr>
      <w:r>
        <w:t xml:space="preserve">RULA (Rapid Upper Limb Assessment) [4] is a method that is often used to evaluate MSD in agricultural works [3,5-8]. </w:t>
      </w:r>
      <w:r w:rsidRPr="00796E02">
        <w:t>RULA evaluates the MSDs' risk based on obse</w:t>
      </w:r>
      <w:r w:rsidRPr="00796E02">
        <w:t>rvations of posture and force on the neck, shoulders, shoulders, elbows, back, and supported and balanced legs</w:t>
      </w:r>
      <w:r w:rsidR="006C6648">
        <w:t xml:space="preserve"> [4]</w:t>
      </w:r>
      <w:r>
        <w:t>.</w:t>
      </w:r>
      <w:r>
        <w:t xml:space="preserve"> This literature observed MSD among farmers in general [3,5,8,9] and in a specific group of fruit [7] and pineapples farmers [6]. </w:t>
      </w:r>
    </w:p>
    <w:p w14:paraId="52F24F02" w14:textId="77777777" w:rsidR="00720FDA" w:rsidRDefault="00264603" w:rsidP="00720FDA">
      <w:pPr>
        <w:pStyle w:val="Paragraph"/>
      </w:pPr>
      <w:r>
        <w:t>In 2010, Kong et al. developed the ALLA (Agriculture Lower Limb Assessment) to measure the risk of physical work in the lower</w:t>
      </w:r>
      <w:r>
        <w:t xml:space="preserve"> limb body, specifically in the agricultural sector [11]. Because ALLA can only analyze the lower limb, in 2011, Kong et al. developed AULA (Agricultural Upper Limb Assessment), which measures physical work risk only for the upper limb [10</w:t>
      </w:r>
      <w:r w:rsidR="00BF51A5">
        <w:t>,11</w:t>
      </w:r>
      <w:r>
        <w:t>]. Furthermore</w:t>
      </w:r>
      <w:r>
        <w:t>, in 2015, Kong et al. introduced the AWBA (Agriculture Whole Body Assessment), which is a combination of upper and lower limbs (whole-body) in the agricultural sector as well [1</w:t>
      </w:r>
      <w:r w:rsidR="00455DB4">
        <w:t>3</w:t>
      </w:r>
      <w:r>
        <w:t>]. These three methods also use a scoring approach such as RULA and REBA to m</w:t>
      </w:r>
      <w:r>
        <w:t>easure the risk level of MSDs.</w:t>
      </w:r>
    </w:p>
    <w:p w14:paraId="39811A08" w14:textId="6E085EA7" w:rsidR="00720FDA" w:rsidRDefault="00264603" w:rsidP="008A6E42">
      <w:pPr>
        <w:pStyle w:val="Paragraph"/>
      </w:pPr>
      <w:r>
        <w:t>Kong et al. compared WMSD in agriculture sectors (ALLA, AULA, and AWBA) and other ergonomic methods for assessing MSD, such as RULA, REBA, and OWAS [11]. This study observed general agriculture workers who work as fruit growe</w:t>
      </w:r>
      <w:r>
        <w:t>rs (grape, peach, pear, strawberry, melon), rice farmers, and vegetable growers (tomatoes and cucumber).</w:t>
      </w:r>
      <w:r w:rsidRPr="006B4D97">
        <w:t xml:space="preserve"> </w:t>
      </w:r>
      <w:r>
        <w:t xml:space="preserve">However, less is known about the utility of those methods in a more specific group of farmers, such as oyster mushroom farmers. </w:t>
      </w:r>
      <w:r w:rsidR="0066135B">
        <w:t>As observed before, a</w:t>
      </w:r>
      <w:r>
        <w:t>ct</w:t>
      </w:r>
      <w:r>
        <w:t xml:space="preserve">ivities in oyster mushroom farms </w:t>
      </w:r>
      <w:r w:rsidR="0066135B">
        <w:t>involved many variations of upper extremity posture</w:t>
      </w:r>
      <w:r>
        <w:t>. Therefore, this study compares the AULA method developed for agricultural workers with existing MSD assessment tools (RULA</w:t>
      </w:r>
      <w:r w:rsidRPr="002E5D72">
        <w:rPr>
          <w:color w:val="000000" w:themeColor="text1"/>
        </w:rPr>
        <w:t>) to identify which method is suitable for measu</w:t>
      </w:r>
      <w:r w:rsidRPr="002E5D72">
        <w:rPr>
          <w:color w:val="000000" w:themeColor="text1"/>
        </w:rPr>
        <w:t>ring the MSD experienced by oyster mushroom farmers.</w:t>
      </w:r>
      <w:r>
        <w:rPr>
          <w:color w:val="FF0000"/>
        </w:rPr>
        <w:t xml:space="preserve"> </w:t>
      </w:r>
      <w:r>
        <w:t xml:space="preserve">Four oyster mushroom farms in </w:t>
      </w:r>
      <w:proofErr w:type="spellStart"/>
      <w:r>
        <w:t>Samarinda</w:t>
      </w:r>
      <w:proofErr w:type="spellEnd"/>
      <w:r>
        <w:t>, East Kalimantan, Indonesia, were observed to achieve the purpose of this study.</w:t>
      </w:r>
    </w:p>
    <w:p w14:paraId="28D07010" w14:textId="77777777" w:rsidR="00C1046C" w:rsidRDefault="00264603" w:rsidP="00624DB7">
      <w:pPr>
        <w:keepNext/>
        <w:keepLines/>
        <w:tabs>
          <w:tab w:val="left" w:pos="454"/>
        </w:tabs>
        <w:spacing w:before="520" w:after="2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   </w:t>
      </w:r>
      <w:proofErr w:type="spellStart"/>
      <w:r w:rsidR="00073980">
        <w:rPr>
          <w:b/>
          <w:sz w:val="24"/>
          <w:szCs w:val="24"/>
        </w:rPr>
        <w:t>Materials</w:t>
      </w:r>
      <w:proofErr w:type="spellEnd"/>
      <w:r w:rsidR="00073980">
        <w:rPr>
          <w:b/>
          <w:sz w:val="24"/>
          <w:szCs w:val="24"/>
        </w:rPr>
        <w:t xml:space="preserve"> and </w:t>
      </w:r>
      <w:proofErr w:type="spellStart"/>
      <w:r w:rsidR="00073980">
        <w:rPr>
          <w:b/>
          <w:sz w:val="24"/>
          <w:szCs w:val="24"/>
        </w:rPr>
        <w:t>Methods</w:t>
      </w:r>
      <w:proofErr w:type="spellEnd"/>
    </w:p>
    <w:p w14:paraId="5F67D068" w14:textId="77777777" w:rsidR="002E3707" w:rsidRDefault="00264603" w:rsidP="002E3707">
      <w:pPr>
        <w:ind w:firstLine="284"/>
        <w:jc w:val="both"/>
      </w:pPr>
      <w:proofErr w:type="spellStart"/>
      <w:r w:rsidRPr="003465F6">
        <w:t>This</w:t>
      </w:r>
      <w:proofErr w:type="spellEnd"/>
      <w:r w:rsidRPr="003465F6">
        <w:t xml:space="preserve"> study </w:t>
      </w:r>
      <w:proofErr w:type="spellStart"/>
      <w:r w:rsidRPr="003465F6">
        <w:t>compares</w:t>
      </w:r>
      <w:proofErr w:type="spellEnd"/>
      <w:r w:rsidRPr="003465F6">
        <w:t xml:space="preserve"> </w:t>
      </w:r>
      <w:proofErr w:type="spellStart"/>
      <w:r w:rsidRPr="003465F6">
        <w:t>t</w:t>
      </w:r>
      <w:r>
        <w:t>wo</w:t>
      </w:r>
      <w:proofErr w:type="spellEnd"/>
      <w:r w:rsidRPr="003465F6">
        <w:t xml:space="preserve"> </w:t>
      </w:r>
      <w:proofErr w:type="spellStart"/>
      <w:r w:rsidRPr="003465F6">
        <w:t>methods</w:t>
      </w:r>
      <w:proofErr w:type="spellEnd"/>
      <w:r w:rsidRPr="003465F6">
        <w:t xml:space="preserve"> </w:t>
      </w:r>
      <w:proofErr w:type="spellStart"/>
      <w:r w:rsidRPr="003465F6">
        <w:t>for</w:t>
      </w:r>
      <w:proofErr w:type="spellEnd"/>
      <w:r w:rsidRPr="003465F6">
        <w:t xml:space="preserve"> </w:t>
      </w:r>
      <w:proofErr w:type="spellStart"/>
      <w:r w:rsidRPr="003465F6">
        <w:t>assessing</w:t>
      </w:r>
      <w:proofErr w:type="spellEnd"/>
      <w:r w:rsidRPr="003465F6">
        <w:t xml:space="preserve"> </w:t>
      </w:r>
      <w:proofErr w:type="spellStart"/>
      <w:r w:rsidRPr="003465F6">
        <w:t>the</w:t>
      </w:r>
      <w:proofErr w:type="spellEnd"/>
      <w:r w:rsidRPr="003465F6">
        <w:t xml:space="preserve"> level of </w:t>
      </w:r>
      <w:proofErr w:type="spellStart"/>
      <w:r w:rsidRPr="003465F6">
        <w:t>ergonomics</w:t>
      </w:r>
      <w:proofErr w:type="spellEnd"/>
      <w:r w:rsidRPr="003465F6">
        <w:t xml:space="preserve"> of </w:t>
      </w:r>
      <w:proofErr w:type="spellStart"/>
      <w:r w:rsidRPr="003465F6">
        <w:t>work</w:t>
      </w:r>
      <w:proofErr w:type="spellEnd"/>
      <w:r w:rsidRPr="003465F6">
        <w:t xml:space="preserve"> </w:t>
      </w:r>
      <w:proofErr w:type="spellStart"/>
      <w:r w:rsidRPr="003465F6">
        <w:t>postures</w:t>
      </w:r>
      <w:proofErr w:type="spellEnd"/>
      <w:r>
        <w:t xml:space="preserve"> (</w:t>
      </w:r>
      <w:r w:rsidRPr="003465F6">
        <w:t>AULA and RULA</w:t>
      </w:r>
      <w:r>
        <w:t>)</w:t>
      </w:r>
      <w:r w:rsidRPr="003465F6">
        <w:t xml:space="preserve"> </w:t>
      </w:r>
      <w:proofErr w:type="spellStart"/>
      <w:r w:rsidRPr="003465F6">
        <w:t>against</w:t>
      </w:r>
      <w:proofErr w:type="spellEnd"/>
      <w:r w:rsidRPr="003465F6">
        <w:t xml:space="preserve"> expert </w:t>
      </w:r>
      <w:proofErr w:type="spellStart"/>
      <w:r w:rsidRPr="003465F6">
        <w:t>assessments</w:t>
      </w:r>
      <w:proofErr w:type="spellEnd"/>
      <w:r w:rsidRPr="003465F6">
        <w:t xml:space="preserve">. </w:t>
      </w:r>
      <w:proofErr w:type="spellStart"/>
      <w:r w:rsidRPr="003465F6">
        <w:t>T</w:t>
      </w:r>
      <w:r>
        <w:t>he</w:t>
      </w:r>
      <w:proofErr w:type="spellEnd"/>
      <w:r>
        <w:t xml:space="preserve"> </w:t>
      </w:r>
      <w:proofErr w:type="spellStart"/>
      <w:r>
        <w:t>samples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study are </w:t>
      </w:r>
      <w:r w:rsidRPr="003465F6">
        <w:t>4 (</w:t>
      </w:r>
      <w:proofErr w:type="spellStart"/>
      <w:r w:rsidRPr="003465F6">
        <w:t>four</w:t>
      </w:r>
      <w:proofErr w:type="spellEnd"/>
      <w:r w:rsidRPr="003465F6">
        <w:t xml:space="preserve">) </w:t>
      </w:r>
      <w:proofErr w:type="spellStart"/>
      <w:r w:rsidRPr="003465F6">
        <w:t>oyster</w:t>
      </w:r>
      <w:proofErr w:type="spellEnd"/>
      <w:r w:rsidRPr="003465F6">
        <w:t xml:space="preserve"> </w:t>
      </w:r>
      <w:proofErr w:type="spellStart"/>
      <w:r w:rsidRPr="003465F6">
        <w:t>mushroom</w:t>
      </w:r>
      <w:proofErr w:type="spellEnd"/>
      <w:r w:rsidRPr="003465F6">
        <w:t xml:space="preserve"> </w:t>
      </w:r>
      <w:proofErr w:type="spellStart"/>
      <w:r w:rsidRPr="003465F6">
        <w:t>cultivation</w:t>
      </w:r>
      <w:proofErr w:type="spellEnd"/>
      <w:r w:rsidRPr="003465F6">
        <w:t xml:space="preserve"> </w:t>
      </w:r>
      <w:proofErr w:type="spellStart"/>
      <w:r>
        <w:t>located</w:t>
      </w:r>
      <w:proofErr w:type="spellEnd"/>
      <w:r>
        <w:t xml:space="preserve"> in</w:t>
      </w:r>
      <w:r w:rsidRPr="003465F6">
        <w:t xml:space="preserve"> </w:t>
      </w:r>
      <w:proofErr w:type="spellStart"/>
      <w:r w:rsidRPr="003465F6">
        <w:t>Samarinda</w:t>
      </w:r>
      <w:proofErr w:type="spellEnd"/>
      <w:r>
        <w:t>, East Kalimantan</w:t>
      </w:r>
      <w:r w:rsidRPr="003465F6">
        <w:t xml:space="preserve">. </w:t>
      </w:r>
      <w:proofErr w:type="spellStart"/>
      <w:r w:rsidRPr="003465F6">
        <w:t>There</w:t>
      </w:r>
      <w:proofErr w:type="spellEnd"/>
      <w:r w:rsidRPr="003465F6">
        <w:t xml:space="preserve"> </w:t>
      </w:r>
      <w:proofErr w:type="spellStart"/>
      <w:r w:rsidRPr="003465F6">
        <w:t>were</w:t>
      </w:r>
      <w:proofErr w:type="spellEnd"/>
      <w:r w:rsidRPr="003465F6">
        <w:t xml:space="preserve"> 2</w:t>
      </w:r>
      <w:r w:rsidR="0053550F">
        <w:t>6</w:t>
      </w:r>
      <w:r w:rsidRPr="003465F6">
        <w:t xml:space="preserve"> </w:t>
      </w:r>
      <w:proofErr w:type="spellStart"/>
      <w:r w:rsidRPr="003465F6">
        <w:t>activities</w:t>
      </w:r>
      <w:proofErr w:type="spellEnd"/>
      <w:r w:rsidRPr="003465F6">
        <w:t xml:space="preserve"> </w:t>
      </w:r>
      <w:proofErr w:type="spellStart"/>
      <w:r w:rsidRPr="003465F6">
        <w:t>observed</w:t>
      </w:r>
      <w:proofErr w:type="spellEnd"/>
      <w:r w:rsidRPr="003465F6">
        <w:t xml:space="preserve"> in </w:t>
      </w:r>
      <w:proofErr w:type="spellStart"/>
      <w:r w:rsidRPr="003465F6">
        <w:t>this</w:t>
      </w:r>
      <w:proofErr w:type="spellEnd"/>
      <w:r w:rsidRPr="003465F6">
        <w:t xml:space="preserve"> </w:t>
      </w:r>
      <w:r w:rsidRPr="003465F6">
        <w:t xml:space="preserve">study, </w:t>
      </w:r>
      <w:proofErr w:type="spellStart"/>
      <w:r w:rsidRPr="003465F6">
        <w:t>starting</w:t>
      </w:r>
      <w:proofErr w:type="spellEnd"/>
      <w:r w:rsidRPr="003465F6">
        <w:t xml:space="preserve"> </w:t>
      </w:r>
      <w:proofErr w:type="spellStart"/>
      <w:r w:rsidRPr="003465F6">
        <w:t>from</w:t>
      </w:r>
      <w:proofErr w:type="spellEnd"/>
      <w:r w:rsidRPr="003465F6">
        <w:t xml:space="preserve"> </w:t>
      </w:r>
      <w:proofErr w:type="spellStart"/>
      <w:r w:rsidRPr="003465F6">
        <w:t>the</w:t>
      </w:r>
      <w:proofErr w:type="spellEnd"/>
      <w:r w:rsidRPr="003465F6">
        <w:t xml:space="preserve"> </w:t>
      </w:r>
      <w:proofErr w:type="spellStart"/>
      <w:r w:rsidRPr="003465F6">
        <w:t>mixing</w:t>
      </w:r>
      <w:proofErr w:type="spellEnd"/>
      <w:r w:rsidRPr="003465F6">
        <w:t xml:space="preserve"> </w:t>
      </w:r>
      <w:proofErr w:type="spellStart"/>
      <w:r w:rsidRPr="003465F6">
        <w:t>process</w:t>
      </w:r>
      <w:proofErr w:type="spellEnd"/>
      <w:r w:rsidRPr="003465F6">
        <w:t xml:space="preserve"> of </w:t>
      </w:r>
      <w:proofErr w:type="spellStart"/>
      <w:r w:rsidRPr="003465F6">
        <w:t>planting</w:t>
      </w:r>
      <w:proofErr w:type="spellEnd"/>
      <w:r w:rsidRPr="003465F6">
        <w:t xml:space="preserve"> </w:t>
      </w:r>
      <w:proofErr w:type="spellStart"/>
      <w:r w:rsidRPr="003465F6">
        <w:t>media</w:t>
      </w:r>
      <w:proofErr w:type="spellEnd"/>
      <w:r w:rsidRPr="003465F6">
        <w:t xml:space="preserve"> to </w:t>
      </w:r>
      <w:proofErr w:type="spellStart"/>
      <w:r w:rsidRPr="003465F6">
        <w:t>the</w:t>
      </w:r>
      <w:proofErr w:type="spellEnd"/>
      <w:r w:rsidRPr="003465F6">
        <w:t xml:space="preserve"> </w:t>
      </w:r>
      <w:proofErr w:type="spellStart"/>
      <w:r w:rsidRPr="003465F6">
        <w:t>harvesting</w:t>
      </w:r>
      <w:proofErr w:type="spellEnd"/>
      <w:r w:rsidRPr="003465F6">
        <w:t xml:space="preserve"> and </w:t>
      </w:r>
      <w:proofErr w:type="spellStart"/>
      <w:r w:rsidRPr="003465F6">
        <w:t>packaging</w:t>
      </w:r>
      <w:proofErr w:type="spellEnd"/>
      <w:r w:rsidRPr="003465F6">
        <w:t xml:space="preserve"> </w:t>
      </w:r>
      <w:proofErr w:type="spellStart"/>
      <w:r w:rsidRPr="003465F6">
        <w:lastRenderedPageBreak/>
        <w:t>process</w:t>
      </w:r>
      <w:proofErr w:type="spellEnd"/>
      <w:r w:rsidRPr="003465F6">
        <w:t xml:space="preserve">. </w:t>
      </w:r>
      <w:proofErr w:type="spellStart"/>
      <w:r w:rsidRPr="003465F6">
        <w:t>Each</w:t>
      </w:r>
      <w:proofErr w:type="spellEnd"/>
      <w:r w:rsidRPr="003465F6">
        <w:t xml:space="preserve"> </w:t>
      </w:r>
      <w:proofErr w:type="spellStart"/>
      <w:r w:rsidRPr="003465F6">
        <w:t>activity</w:t>
      </w:r>
      <w:proofErr w:type="spellEnd"/>
      <w:r w:rsidRPr="003465F6">
        <w:t xml:space="preserve"> </w:t>
      </w:r>
      <w:proofErr w:type="spellStart"/>
      <w:r w:rsidRPr="003465F6">
        <w:t>is</w:t>
      </w:r>
      <w:proofErr w:type="spellEnd"/>
      <w:r w:rsidRPr="003465F6">
        <w:t xml:space="preserve"> </w:t>
      </w:r>
      <w:proofErr w:type="spellStart"/>
      <w:r w:rsidRPr="003465F6">
        <w:t>taken</w:t>
      </w:r>
      <w:proofErr w:type="spellEnd"/>
      <w:r w:rsidRPr="003465F6">
        <w:t xml:space="preserve"> </w:t>
      </w:r>
      <w:proofErr w:type="spellStart"/>
      <w:r w:rsidRPr="003465F6">
        <w:t>with</w:t>
      </w:r>
      <w:proofErr w:type="spellEnd"/>
      <w:r w:rsidRPr="003465F6">
        <w:t xml:space="preserve"> a </w:t>
      </w:r>
      <w:proofErr w:type="spellStart"/>
      <w:r w:rsidRPr="003465F6">
        <w:t>picture</w:t>
      </w:r>
      <w:proofErr w:type="spellEnd"/>
      <w:r w:rsidRPr="003465F6">
        <w:t xml:space="preserve"> </w:t>
      </w:r>
      <w:proofErr w:type="spellStart"/>
      <w:r w:rsidRPr="003465F6">
        <w:t>using</w:t>
      </w:r>
      <w:proofErr w:type="spellEnd"/>
      <w:r w:rsidRPr="003465F6">
        <w:t xml:space="preserve"> a </w:t>
      </w:r>
      <w:proofErr w:type="spellStart"/>
      <w:r w:rsidRPr="003465F6">
        <w:t>camera</w:t>
      </w:r>
      <w:proofErr w:type="spellEnd"/>
      <w:r w:rsidRPr="003465F6">
        <w:t xml:space="preserve">; </w:t>
      </w:r>
      <w:proofErr w:type="spellStart"/>
      <w:r w:rsidRPr="003465F6">
        <w:t>then</w:t>
      </w:r>
      <w:proofErr w:type="spellEnd"/>
      <w:r w:rsidRPr="003465F6">
        <w:t xml:space="preserve">, </w:t>
      </w:r>
      <w:proofErr w:type="spellStart"/>
      <w:r w:rsidRPr="003465F6">
        <w:t>the</w:t>
      </w:r>
      <w:proofErr w:type="spellEnd"/>
      <w:r w:rsidRPr="003465F6">
        <w:t xml:space="preserve"> </w:t>
      </w:r>
      <w:proofErr w:type="spellStart"/>
      <w:r w:rsidRPr="003465F6">
        <w:t>researcher</w:t>
      </w:r>
      <w:proofErr w:type="spellEnd"/>
      <w:r w:rsidRPr="003465F6">
        <w:t xml:space="preserve"> </w:t>
      </w:r>
      <w:proofErr w:type="spellStart"/>
      <w:r w:rsidRPr="003465F6">
        <w:t>calculates</w:t>
      </w:r>
      <w:proofErr w:type="spellEnd"/>
      <w:r w:rsidRPr="003465F6">
        <w:t xml:space="preserve"> </w:t>
      </w:r>
      <w:proofErr w:type="spellStart"/>
      <w:r w:rsidRPr="003465F6">
        <w:t>the</w:t>
      </w:r>
      <w:proofErr w:type="spellEnd"/>
      <w:r w:rsidRPr="003465F6">
        <w:t xml:space="preserve"> level of </w:t>
      </w:r>
      <w:proofErr w:type="spellStart"/>
      <w:r w:rsidRPr="003465F6">
        <w:t>ergonomic</w:t>
      </w:r>
      <w:proofErr w:type="spellEnd"/>
      <w:r w:rsidRPr="003465F6">
        <w:t xml:space="preserve"> risk of </w:t>
      </w:r>
      <w:proofErr w:type="spellStart"/>
      <w:r w:rsidRPr="003465F6">
        <w:t>the</w:t>
      </w:r>
      <w:proofErr w:type="spellEnd"/>
      <w:r w:rsidRPr="003465F6">
        <w:t xml:space="preserve"> </w:t>
      </w:r>
      <w:proofErr w:type="spellStart"/>
      <w:r w:rsidRPr="003465F6">
        <w:t>work</w:t>
      </w:r>
      <w:proofErr w:type="spellEnd"/>
      <w:r w:rsidRPr="003465F6">
        <w:t xml:space="preserve"> </w:t>
      </w:r>
      <w:proofErr w:type="spellStart"/>
      <w:r w:rsidRPr="003465F6">
        <w:t>posture</w:t>
      </w:r>
      <w:proofErr w:type="spellEnd"/>
      <w:r w:rsidRPr="003465F6">
        <w:t xml:space="preserve"> </w:t>
      </w:r>
      <w:proofErr w:type="spellStart"/>
      <w:r w:rsidRPr="003465F6">
        <w:t>using</w:t>
      </w:r>
      <w:proofErr w:type="spellEnd"/>
      <w:r w:rsidRPr="003465F6">
        <w:t xml:space="preserve"> </w:t>
      </w:r>
      <w:proofErr w:type="spellStart"/>
      <w:r w:rsidRPr="003465F6">
        <w:t>the</w:t>
      </w:r>
      <w:proofErr w:type="spellEnd"/>
      <w:r w:rsidRPr="003465F6">
        <w:t xml:space="preserve"> AULA and RULA</w:t>
      </w:r>
      <w:r w:rsidRPr="003465F6">
        <w:t xml:space="preserve"> </w:t>
      </w:r>
      <w:proofErr w:type="spellStart"/>
      <w:r w:rsidRPr="003465F6">
        <w:t>methods</w:t>
      </w:r>
      <w:proofErr w:type="spellEnd"/>
      <w:r w:rsidRPr="003465F6">
        <w:t xml:space="preserve"> as </w:t>
      </w:r>
      <w:proofErr w:type="spellStart"/>
      <w:r w:rsidRPr="003465F6">
        <w:t>presented</w:t>
      </w:r>
      <w:proofErr w:type="spellEnd"/>
      <w:r w:rsidRPr="003465F6">
        <w:t xml:space="preserve"> in </w:t>
      </w:r>
      <w:proofErr w:type="spellStart"/>
      <w:r w:rsidRPr="003465F6">
        <w:t>Figure</w:t>
      </w:r>
      <w:proofErr w:type="spellEnd"/>
      <w:r w:rsidRPr="003465F6">
        <w:t xml:space="preserve"> 1 and </w:t>
      </w:r>
      <w:proofErr w:type="spellStart"/>
      <w:r w:rsidRPr="003465F6">
        <w:t>Figure</w:t>
      </w:r>
      <w:proofErr w:type="spellEnd"/>
      <w:r w:rsidRPr="003465F6">
        <w:t xml:space="preserve"> 2.</w:t>
      </w:r>
    </w:p>
    <w:p w14:paraId="2CB30145" w14:textId="77777777" w:rsidR="002E3707" w:rsidRDefault="002E3707" w:rsidP="002E3707">
      <w:pPr>
        <w:jc w:val="both"/>
      </w:pPr>
    </w:p>
    <w:p w14:paraId="6A448596" w14:textId="77777777" w:rsidR="002E3707" w:rsidRPr="00616ECE" w:rsidRDefault="00264603" w:rsidP="002E3707">
      <w:pPr>
        <w:jc w:val="center"/>
        <w:rPr>
          <w:sz w:val="22"/>
          <w:szCs w:val="22"/>
        </w:rPr>
      </w:pPr>
      <w:r w:rsidRPr="00616ECE">
        <w:rPr>
          <w:noProof/>
          <w:sz w:val="22"/>
          <w:szCs w:val="22"/>
        </w:rPr>
        <w:drawing>
          <wp:inline distT="0" distB="0" distL="0" distR="0" wp14:anchorId="3081C784" wp14:editId="7DCFD64F">
            <wp:extent cx="3540642" cy="2395602"/>
            <wp:effectExtent l="0" t="0" r="317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49597" cy="2401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5BD4E" w14:textId="5F239DA8" w:rsidR="002E3707" w:rsidRPr="00616ECE" w:rsidRDefault="00264603" w:rsidP="002E3707">
      <w:pPr>
        <w:contextualSpacing/>
        <w:jc w:val="center"/>
        <w:rPr>
          <w:sz w:val="22"/>
          <w:szCs w:val="22"/>
          <w:lang w:val="en-US"/>
        </w:rPr>
      </w:pPr>
      <w:r w:rsidRPr="003612E4">
        <w:rPr>
          <w:lang w:val="en-US"/>
        </w:rPr>
        <w:t xml:space="preserve">Figure 1. Work Posture Assessment Worksheet </w:t>
      </w:r>
      <w:r>
        <w:rPr>
          <w:lang w:val="en-US"/>
        </w:rPr>
        <w:t>u</w:t>
      </w:r>
      <w:r w:rsidRPr="003612E4">
        <w:rPr>
          <w:lang w:val="en-US"/>
        </w:rPr>
        <w:t>sing AULA</w:t>
      </w:r>
      <w:r w:rsidR="00831027">
        <w:rPr>
          <w:lang w:val="en-US"/>
        </w:rPr>
        <w:t>.</w:t>
      </w:r>
    </w:p>
    <w:p w14:paraId="79FC562A" w14:textId="77777777" w:rsidR="002E3707" w:rsidRPr="00616ECE" w:rsidRDefault="002E3707" w:rsidP="002E3707">
      <w:pPr>
        <w:contextualSpacing/>
        <w:jc w:val="center"/>
        <w:rPr>
          <w:sz w:val="22"/>
          <w:szCs w:val="22"/>
          <w:lang w:val="en-US"/>
        </w:rPr>
      </w:pPr>
    </w:p>
    <w:p w14:paraId="60827A9F" w14:textId="77777777" w:rsidR="002E3707" w:rsidRPr="00616ECE" w:rsidRDefault="00264603" w:rsidP="002E3707">
      <w:pPr>
        <w:contextualSpacing/>
        <w:jc w:val="center"/>
        <w:rPr>
          <w:sz w:val="22"/>
          <w:szCs w:val="22"/>
          <w:lang w:val="en-US"/>
        </w:rPr>
      </w:pPr>
      <w:r w:rsidRPr="00616ECE">
        <w:rPr>
          <w:noProof/>
          <w:sz w:val="22"/>
          <w:szCs w:val="22"/>
        </w:rPr>
        <w:drawing>
          <wp:inline distT="0" distB="0" distL="0" distR="0" wp14:anchorId="295DA038" wp14:editId="07D84037">
            <wp:extent cx="3298275" cy="2600325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9" t="1601" r="2799" b="2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828" cy="260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A71F39" w14:textId="2B89C3A7" w:rsidR="002E3707" w:rsidRPr="00616ECE" w:rsidRDefault="00264603" w:rsidP="002E3707">
      <w:pPr>
        <w:contextualSpacing/>
        <w:jc w:val="center"/>
        <w:rPr>
          <w:sz w:val="22"/>
          <w:szCs w:val="22"/>
          <w:lang w:val="en-US"/>
        </w:rPr>
      </w:pPr>
      <w:r w:rsidRPr="003612E4">
        <w:rPr>
          <w:lang w:val="en-US"/>
        </w:rPr>
        <w:t xml:space="preserve">Figure </w:t>
      </w:r>
      <w:r>
        <w:rPr>
          <w:lang w:val="en-US"/>
        </w:rPr>
        <w:t>2.</w:t>
      </w:r>
      <w:r w:rsidRPr="003612E4">
        <w:rPr>
          <w:lang w:val="en-US"/>
        </w:rPr>
        <w:t xml:space="preserve"> Work Posture Assessment Worksheet </w:t>
      </w:r>
      <w:r>
        <w:rPr>
          <w:lang w:val="en-US"/>
        </w:rPr>
        <w:t>u</w:t>
      </w:r>
      <w:r w:rsidRPr="003612E4">
        <w:rPr>
          <w:lang w:val="en-US"/>
        </w:rPr>
        <w:t xml:space="preserve">sing </w:t>
      </w:r>
      <w:r>
        <w:rPr>
          <w:lang w:val="en-US"/>
        </w:rPr>
        <w:t>R</w:t>
      </w:r>
      <w:r w:rsidRPr="003612E4">
        <w:rPr>
          <w:lang w:val="en-US"/>
        </w:rPr>
        <w:t>ULA</w:t>
      </w:r>
      <w:r w:rsidR="00831027">
        <w:rPr>
          <w:lang w:val="en-US"/>
        </w:rPr>
        <w:t>.</w:t>
      </w:r>
    </w:p>
    <w:p w14:paraId="50B1FA91" w14:textId="77777777" w:rsidR="008A6E42" w:rsidRDefault="008A6E42" w:rsidP="002E3707">
      <w:pPr>
        <w:ind w:firstLine="284"/>
        <w:jc w:val="both"/>
      </w:pPr>
    </w:p>
    <w:p w14:paraId="0E65920C" w14:textId="52242BD2" w:rsidR="002E3707" w:rsidRDefault="00264603" w:rsidP="002E3707">
      <w:pPr>
        <w:ind w:firstLine="284"/>
        <w:jc w:val="both"/>
      </w:pPr>
      <w:proofErr w:type="spellStart"/>
      <w:r w:rsidRPr="00653550">
        <w:t>Pictures</w:t>
      </w:r>
      <w:proofErr w:type="spellEnd"/>
      <w:r w:rsidRPr="00653550">
        <w:t xml:space="preserve"> of </w:t>
      </w:r>
      <w:proofErr w:type="spellStart"/>
      <w:r w:rsidRPr="00653550">
        <w:t>the</w:t>
      </w:r>
      <w:proofErr w:type="spellEnd"/>
      <w:r w:rsidRPr="00653550">
        <w:t xml:space="preserve"> </w:t>
      </w:r>
      <w:proofErr w:type="spellStart"/>
      <w:r w:rsidRPr="00653550">
        <w:t>work</w:t>
      </w:r>
      <w:proofErr w:type="spellEnd"/>
      <w:r w:rsidRPr="00653550">
        <w:t xml:space="preserve"> </w:t>
      </w:r>
      <w:proofErr w:type="spellStart"/>
      <w:r w:rsidRPr="00653550">
        <w:t>postures</w:t>
      </w:r>
      <w:proofErr w:type="spellEnd"/>
      <w:r w:rsidRPr="00653550">
        <w:t xml:space="preserve"> of </w:t>
      </w:r>
      <w:proofErr w:type="spellStart"/>
      <w:r w:rsidRPr="00653550">
        <w:t>each</w:t>
      </w:r>
      <w:proofErr w:type="spellEnd"/>
      <w:r w:rsidRPr="00653550">
        <w:t xml:space="preserve"> </w:t>
      </w:r>
      <w:proofErr w:type="spellStart"/>
      <w:r w:rsidRPr="00653550">
        <w:t>activity</w:t>
      </w:r>
      <w:proofErr w:type="spellEnd"/>
      <w:r w:rsidRPr="00653550">
        <w:t xml:space="preserve"> are </w:t>
      </w:r>
      <w:proofErr w:type="spellStart"/>
      <w:r w:rsidRPr="00653550">
        <w:t>also</w:t>
      </w:r>
      <w:proofErr w:type="spellEnd"/>
      <w:r w:rsidRPr="00653550">
        <w:t xml:space="preserve"> </w:t>
      </w:r>
      <w:proofErr w:type="spellStart"/>
      <w:r w:rsidRPr="00653550">
        <w:t>given</w:t>
      </w:r>
      <w:proofErr w:type="spellEnd"/>
      <w:r w:rsidRPr="00653550">
        <w:t xml:space="preserve"> to </w:t>
      </w:r>
      <w:proofErr w:type="spellStart"/>
      <w:r w:rsidRPr="00653550">
        <w:t>experts</w:t>
      </w:r>
      <w:proofErr w:type="spellEnd"/>
      <w:r>
        <w:t xml:space="preserve"> </w:t>
      </w:r>
      <w:r w:rsidRPr="00653550">
        <w:t xml:space="preserve">to </w:t>
      </w:r>
      <w:proofErr w:type="spellStart"/>
      <w:r w:rsidRPr="00653550">
        <w:t>estimate</w:t>
      </w:r>
      <w:proofErr w:type="spellEnd"/>
      <w:r w:rsidRPr="00653550">
        <w:t xml:space="preserve"> </w:t>
      </w:r>
      <w:proofErr w:type="spellStart"/>
      <w:r w:rsidRPr="00653550">
        <w:t>the</w:t>
      </w:r>
      <w:proofErr w:type="spellEnd"/>
      <w:r w:rsidRPr="00653550">
        <w:t xml:space="preserve"> </w:t>
      </w:r>
      <w:proofErr w:type="spellStart"/>
      <w:r w:rsidRPr="00653550">
        <w:t>ergonomics</w:t>
      </w:r>
      <w:proofErr w:type="spellEnd"/>
      <w:r w:rsidRPr="00653550">
        <w:t xml:space="preserve"> risk </w:t>
      </w:r>
      <w:proofErr w:type="spellStart"/>
      <w:r w:rsidRPr="00653550">
        <w:t>value</w:t>
      </w:r>
      <w:proofErr w:type="spellEnd"/>
      <w:r w:rsidRPr="00653550">
        <w:t xml:space="preserve">. </w:t>
      </w:r>
      <w:r w:rsidRPr="00827C41">
        <w:t xml:space="preserve">A </w:t>
      </w:r>
      <w:proofErr w:type="spellStart"/>
      <w:r w:rsidRPr="00827C41">
        <w:t>total</w:t>
      </w:r>
      <w:proofErr w:type="spellEnd"/>
      <w:r w:rsidRPr="00827C41">
        <w:t xml:space="preserve"> of </w:t>
      </w:r>
      <w:proofErr w:type="spellStart"/>
      <w:r>
        <w:t>twelve</w:t>
      </w:r>
      <w:proofErr w:type="spellEnd"/>
      <w:r w:rsidRPr="00827C41">
        <w:t xml:space="preserve"> </w:t>
      </w:r>
      <w:proofErr w:type="spellStart"/>
      <w:r w:rsidRPr="00827C41">
        <w:t>experienced</w:t>
      </w:r>
      <w:proofErr w:type="spellEnd"/>
      <w:r w:rsidRPr="00827C41">
        <w:t xml:space="preserve"> </w:t>
      </w:r>
      <w:proofErr w:type="spellStart"/>
      <w:r w:rsidRPr="00827C41">
        <w:t>experts</w:t>
      </w:r>
      <w:proofErr w:type="spellEnd"/>
      <w:r w:rsidRPr="00827C41">
        <w:t xml:space="preserve"> in </w:t>
      </w:r>
      <w:proofErr w:type="spellStart"/>
      <w:r w:rsidRPr="00827C41">
        <w:t>ergonomics</w:t>
      </w:r>
      <w:proofErr w:type="spellEnd"/>
      <w:r w:rsidRPr="00827C41">
        <w:t xml:space="preserve">, </w:t>
      </w:r>
      <w:proofErr w:type="spellStart"/>
      <w:r w:rsidRPr="00827C41">
        <w:t>safety</w:t>
      </w:r>
      <w:proofErr w:type="spellEnd"/>
      <w:r w:rsidRPr="00827C41">
        <w:t xml:space="preserve"> and </w:t>
      </w:r>
      <w:proofErr w:type="spellStart"/>
      <w:r w:rsidRPr="00827C41">
        <w:t>health</w:t>
      </w:r>
      <w:proofErr w:type="spellEnd"/>
      <w:r w:rsidRPr="00827C41">
        <w:t xml:space="preserve">, and </w:t>
      </w:r>
      <w:proofErr w:type="spellStart"/>
      <w:r w:rsidRPr="00827C41">
        <w:t>agriculture</w:t>
      </w:r>
      <w:proofErr w:type="spellEnd"/>
      <w:r w:rsidRPr="00827C41">
        <w:t xml:space="preserve"> </w:t>
      </w:r>
      <w:proofErr w:type="spellStart"/>
      <w:r>
        <w:t>participated</w:t>
      </w:r>
      <w:proofErr w:type="spellEnd"/>
      <w:r>
        <w:t xml:space="preserve"> </w:t>
      </w:r>
      <w:r w:rsidRPr="00827C41">
        <w:t xml:space="preserve">in </w:t>
      </w:r>
      <w:proofErr w:type="spellStart"/>
      <w:r w:rsidRPr="00827C41">
        <w:t>this</w:t>
      </w:r>
      <w:proofErr w:type="spellEnd"/>
      <w:r w:rsidRPr="00827C41">
        <w:t xml:space="preserve"> study</w:t>
      </w:r>
      <w:r>
        <w:t xml:space="preserve">. </w:t>
      </w:r>
      <w:proofErr w:type="spellStart"/>
      <w:r w:rsidRPr="00653550">
        <w:t>The</w:t>
      </w:r>
      <w:proofErr w:type="spellEnd"/>
      <w:r w:rsidRPr="00653550">
        <w:t xml:space="preserve"> expert </w:t>
      </w:r>
      <w:proofErr w:type="spellStart"/>
      <w:r w:rsidRPr="00653550">
        <w:t>assesses</w:t>
      </w:r>
      <w:proofErr w:type="spellEnd"/>
      <w:r w:rsidRPr="00653550">
        <w:t xml:space="preserve"> </w:t>
      </w:r>
      <w:proofErr w:type="spellStart"/>
      <w:r w:rsidRPr="00653550">
        <w:t>with</w:t>
      </w:r>
      <w:proofErr w:type="spellEnd"/>
      <w:r w:rsidRPr="00653550">
        <w:t xml:space="preserve"> a 10-level rating </w:t>
      </w:r>
      <w:proofErr w:type="spellStart"/>
      <w:r w:rsidRPr="00653550">
        <w:t>scale</w:t>
      </w:r>
      <w:proofErr w:type="spellEnd"/>
      <w:r w:rsidRPr="00653550">
        <w:t xml:space="preserve">: 1 = </w:t>
      </w:r>
      <w:proofErr w:type="spellStart"/>
      <w:r w:rsidRPr="00653550">
        <w:t>very</w:t>
      </w:r>
      <w:proofErr w:type="spellEnd"/>
      <w:r w:rsidRPr="00653550">
        <w:t xml:space="preserve"> </w:t>
      </w:r>
      <w:proofErr w:type="spellStart"/>
      <w:r w:rsidRPr="00653550">
        <w:t>safe</w:t>
      </w:r>
      <w:proofErr w:type="spellEnd"/>
      <w:r w:rsidRPr="00653550">
        <w:t xml:space="preserve"> </w:t>
      </w:r>
      <w:proofErr w:type="spellStart"/>
      <w:r w:rsidRPr="00653550">
        <w:t>posture</w:t>
      </w:r>
      <w:proofErr w:type="spellEnd"/>
      <w:r w:rsidRPr="00653550">
        <w:t xml:space="preserve"> to 10 = </w:t>
      </w:r>
      <w:proofErr w:type="spellStart"/>
      <w:r w:rsidRPr="00653550">
        <w:t>precarious</w:t>
      </w:r>
      <w:proofErr w:type="spellEnd"/>
      <w:r w:rsidRPr="00653550">
        <w:t xml:space="preserve"> </w:t>
      </w:r>
      <w:proofErr w:type="spellStart"/>
      <w:r w:rsidRPr="00653550">
        <w:t>posture</w:t>
      </w:r>
      <w:proofErr w:type="spellEnd"/>
      <w:r w:rsidRPr="00653550">
        <w:t xml:space="preserve">. </w:t>
      </w:r>
      <w:proofErr w:type="spellStart"/>
      <w:r w:rsidRPr="00653550">
        <w:t>T</w:t>
      </w:r>
      <w:r w:rsidRPr="00653550">
        <w:t>hen</w:t>
      </w:r>
      <w:proofErr w:type="spellEnd"/>
      <w:r w:rsidRPr="00653550">
        <w:t xml:space="preserve"> </w:t>
      </w:r>
      <w:proofErr w:type="spellStart"/>
      <w:r w:rsidRPr="00653550">
        <w:t>the</w:t>
      </w:r>
      <w:proofErr w:type="spellEnd"/>
      <w:r w:rsidRPr="00653550">
        <w:t xml:space="preserve"> risk level </w:t>
      </w:r>
      <w:proofErr w:type="spellStart"/>
      <w:r w:rsidRPr="00653550">
        <w:t>score</w:t>
      </w:r>
      <w:proofErr w:type="spellEnd"/>
      <w:r w:rsidRPr="00653550">
        <w:t xml:space="preserve"> </w:t>
      </w:r>
      <w:proofErr w:type="spellStart"/>
      <w:r w:rsidRPr="00653550">
        <w:t>estimated</w:t>
      </w:r>
      <w:proofErr w:type="spellEnd"/>
      <w:r w:rsidRPr="00653550">
        <w:t xml:space="preserve"> by </w:t>
      </w:r>
      <w:proofErr w:type="spellStart"/>
      <w:r w:rsidRPr="00653550">
        <w:t>the</w:t>
      </w:r>
      <w:proofErr w:type="spellEnd"/>
      <w:r w:rsidRPr="00653550">
        <w:t xml:space="preserve"> </w:t>
      </w:r>
      <w:proofErr w:type="spellStart"/>
      <w:r w:rsidRPr="00653550">
        <w:t>experts</w:t>
      </w:r>
      <w:proofErr w:type="spellEnd"/>
      <w:r w:rsidRPr="00653550">
        <w:t xml:space="preserve"> </w:t>
      </w:r>
      <w:proofErr w:type="spellStart"/>
      <w:r w:rsidRPr="00653550">
        <w:t>was</w:t>
      </w:r>
      <w:proofErr w:type="spellEnd"/>
      <w:r w:rsidRPr="00653550">
        <w:t xml:space="preserve"> </w:t>
      </w:r>
      <w:proofErr w:type="spellStart"/>
      <w:r w:rsidRPr="00653550">
        <w:t>calculated</w:t>
      </w:r>
      <w:proofErr w:type="spellEnd"/>
      <w:r w:rsidRPr="00653550">
        <w:t xml:space="preserve"> on </w:t>
      </w:r>
      <w:proofErr w:type="spellStart"/>
      <w:r w:rsidRPr="00653550">
        <w:t>average</w:t>
      </w:r>
      <w:proofErr w:type="spellEnd"/>
      <w:r w:rsidRPr="00653550">
        <w:t xml:space="preserve"> and </w:t>
      </w:r>
      <w:proofErr w:type="spellStart"/>
      <w:r w:rsidRPr="00653550">
        <w:t>classified</w:t>
      </w:r>
      <w:proofErr w:type="spellEnd"/>
      <w:r w:rsidRPr="00653550">
        <w:t xml:space="preserve"> </w:t>
      </w:r>
      <w:proofErr w:type="spellStart"/>
      <w:r w:rsidRPr="00653550">
        <w:t>into</w:t>
      </w:r>
      <w:proofErr w:type="spellEnd"/>
      <w:r w:rsidRPr="00653550">
        <w:t xml:space="preserve"> </w:t>
      </w:r>
      <w:proofErr w:type="spellStart"/>
      <w:r w:rsidRPr="00653550">
        <w:t>four</w:t>
      </w:r>
      <w:proofErr w:type="spellEnd"/>
      <w:r w:rsidRPr="00653550">
        <w:t xml:space="preserve"> </w:t>
      </w:r>
      <w:proofErr w:type="spellStart"/>
      <w:r w:rsidRPr="00653550">
        <w:t>levels</w:t>
      </w:r>
      <w:proofErr w:type="spellEnd"/>
      <w:r>
        <w:t xml:space="preserve"> (</w:t>
      </w:r>
      <w:r w:rsidRPr="00653550">
        <w:t>1</w:t>
      </w:r>
      <w:r>
        <w:t>=</w:t>
      </w:r>
      <w:r w:rsidRPr="00653550">
        <w:t xml:space="preserve"> </w:t>
      </w:r>
      <w:proofErr w:type="spellStart"/>
      <w:r w:rsidRPr="00653550">
        <w:t>low</w:t>
      </w:r>
      <w:proofErr w:type="spellEnd"/>
      <w:r w:rsidRPr="00653550">
        <w:t xml:space="preserve"> </w:t>
      </w:r>
      <w:r>
        <w:t>(</w:t>
      </w:r>
      <w:proofErr w:type="spellStart"/>
      <w:r>
        <w:t>average</w:t>
      </w:r>
      <w:proofErr w:type="spellEnd"/>
      <w:r>
        <w:t>:</w:t>
      </w:r>
      <w:r w:rsidRPr="00653550">
        <w:t xml:space="preserve"> 1.00–3.25); 2: </w:t>
      </w:r>
      <w:proofErr w:type="spellStart"/>
      <w:r w:rsidRPr="00653550">
        <w:t>moderate</w:t>
      </w:r>
      <w:proofErr w:type="spellEnd"/>
      <w:r w:rsidRPr="00653550">
        <w:t xml:space="preserve"> (</w:t>
      </w:r>
      <w:proofErr w:type="spellStart"/>
      <w:r>
        <w:t>average</w:t>
      </w:r>
      <w:proofErr w:type="spellEnd"/>
      <w:r w:rsidRPr="00653550">
        <w:t xml:space="preserve">: 3.25–5.50); </w:t>
      </w:r>
      <w:proofErr w:type="spellStart"/>
      <w:r w:rsidRPr="00653550">
        <w:t>high</w:t>
      </w:r>
      <w:proofErr w:type="spellEnd"/>
      <w:r w:rsidRPr="00653550">
        <w:t xml:space="preserve"> (</w:t>
      </w:r>
      <w:proofErr w:type="spellStart"/>
      <w:r>
        <w:t>average</w:t>
      </w:r>
      <w:proofErr w:type="spellEnd"/>
      <w:r w:rsidRPr="00653550">
        <w:t xml:space="preserve">: 5.50–7.25), and 4: </w:t>
      </w:r>
      <w:proofErr w:type="spellStart"/>
      <w:r w:rsidRPr="00653550">
        <w:t>very</w:t>
      </w:r>
      <w:proofErr w:type="spellEnd"/>
      <w:r w:rsidRPr="00653550">
        <w:t xml:space="preserve"> </w:t>
      </w:r>
      <w:proofErr w:type="spellStart"/>
      <w:r w:rsidRPr="00653550">
        <w:t>high</w:t>
      </w:r>
      <w:proofErr w:type="spellEnd"/>
      <w:r w:rsidRPr="00653550">
        <w:t xml:space="preserve"> (</w:t>
      </w:r>
      <w:proofErr w:type="spellStart"/>
      <w:r>
        <w:t>average</w:t>
      </w:r>
      <w:proofErr w:type="spellEnd"/>
      <w:r w:rsidRPr="00653550">
        <w:t>: 7.25–</w:t>
      </w:r>
      <w:r w:rsidRPr="00653550">
        <w:lastRenderedPageBreak/>
        <w:t xml:space="preserve">10.00). </w:t>
      </w:r>
      <w:proofErr w:type="spellStart"/>
      <w:r w:rsidRPr="00653550">
        <w:t>This</w:t>
      </w:r>
      <w:proofErr w:type="spellEnd"/>
      <w:r w:rsidRPr="00653550">
        <w:t xml:space="preserve"> </w:t>
      </w:r>
      <w:proofErr w:type="spellStart"/>
      <w:r w:rsidRPr="00653550">
        <w:t>classificati</w:t>
      </w:r>
      <w:r w:rsidRPr="00653550">
        <w:t>on</w:t>
      </w:r>
      <w:proofErr w:type="spellEnd"/>
      <w:r w:rsidRPr="00653550">
        <w:t xml:space="preserve"> </w:t>
      </w:r>
      <w:proofErr w:type="spellStart"/>
      <w:r w:rsidRPr="00653550">
        <w:t>is</w:t>
      </w:r>
      <w:proofErr w:type="spellEnd"/>
      <w:r w:rsidRPr="00653550">
        <w:t xml:space="preserve"> </w:t>
      </w:r>
      <w:proofErr w:type="spellStart"/>
      <w:r w:rsidRPr="00653550">
        <w:t>intended</w:t>
      </w:r>
      <w:proofErr w:type="spellEnd"/>
      <w:r w:rsidRPr="00653550">
        <w:t xml:space="preserve"> to </w:t>
      </w:r>
      <w:proofErr w:type="spellStart"/>
      <w:r w:rsidRPr="00653550">
        <w:t>homogenize</w:t>
      </w:r>
      <w:proofErr w:type="spellEnd"/>
      <w:r w:rsidRPr="00653550">
        <w:t xml:space="preserve"> </w:t>
      </w:r>
      <w:proofErr w:type="spellStart"/>
      <w:r w:rsidRPr="00653550">
        <w:t>the</w:t>
      </w:r>
      <w:proofErr w:type="spellEnd"/>
      <w:r w:rsidRPr="00653550">
        <w:t xml:space="preserve"> level of risk </w:t>
      </w:r>
      <w:proofErr w:type="spellStart"/>
      <w:r w:rsidRPr="00653550">
        <w:t>groups</w:t>
      </w:r>
      <w:proofErr w:type="spellEnd"/>
      <w:r w:rsidRPr="00653550">
        <w:t xml:space="preserve"> </w:t>
      </w:r>
      <w:proofErr w:type="spellStart"/>
      <w:r w:rsidRPr="00653550">
        <w:t>under</w:t>
      </w:r>
      <w:proofErr w:type="spellEnd"/>
      <w:r w:rsidRPr="00653550">
        <w:t xml:space="preserve"> AULA and RULA, </w:t>
      </w:r>
      <w:proofErr w:type="spellStart"/>
      <w:r w:rsidRPr="00653550">
        <w:t>each</w:t>
      </w:r>
      <w:proofErr w:type="spellEnd"/>
      <w:r w:rsidRPr="00653550">
        <w:t xml:space="preserve"> of </w:t>
      </w:r>
      <w:proofErr w:type="spellStart"/>
      <w:r w:rsidRPr="00653550">
        <w:t>which</w:t>
      </w:r>
      <w:proofErr w:type="spellEnd"/>
      <w:r w:rsidRPr="00653550">
        <w:t xml:space="preserve"> has </w:t>
      </w:r>
      <w:proofErr w:type="spellStart"/>
      <w:r w:rsidRPr="00653550">
        <w:t>four</w:t>
      </w:r>
      <w:proofErr w:type="spellEnd"/>
      <w:r w:rsidRPr="00653550">
        <w:t xml:space="preserve"> </w:t>
      </w:r>
      <w:proofErr w:type="spellStart"/>
      <w:r w:rsidRPr="00653550">
        <w:t>levels</w:t>
      </w:r>
      <w:proofErr w:type="spellEnd"/>
      <w:r w:rsidRPr="00653550">
        <w:t xml:space="preserve"> of risk.</w:t>
      </w:r>
    </w:p>
    <w:p w14:paraId="69A07CA5" w14:textId="77777777" w:rsidR="002E3707" w:rsidRDefault="00264603" w:rsidP="002E3707">
      <w:pPr>
        <w:ind w:firstLine="284"/>
        <w:jc w:val="both"/>
      </w:pPr>
      <w:proofErr w:type="spellStart"/>
      <w:r w:rsidRPr="00827C41">
        <w:t>Furthermore</w:t>
      </w:r>
      <w:proofErr w:type="spellEnd"/>
      <w:r w:rsidRPr="00827C41">
        <w:t xml:space="preserve">, </w:t>
      </w:r>
      <w:proofErr w:type="spellStart"/>
      <w:r w:rsidRPr="00827C41">
        <w:t>several</w:t>
      </w:r>
      <w:proofErr w:type="spellEnd"/>
      <w:r w:rsidRPr="00827C41">
        <w:t xml:space="preserve"> </w:t>
      </w:r>
      <w:proofErr w:type="spellStart"/>
      <w:r w:rsidRPr="00827C41">
        <w:t>statistical</w:t>
      </w:r>
      <w:proofErr w:type="spellEnd"/>
      <w:r w:rsidRPr="00827C41">
        <w:t xml:space="preserve"> </w:t>
      </w:r>
      <w:proofErr w:type="spellStart"/>
      <w:r w:rsidRPr="00827C41">
        <w:t>analyses</w:t>
      </w:r>
      <w:proofErr w:type="spellEnd"/>
      <w:r w:rsidRPr="00827C41">
        <w:t xml:space="preserve"> </w:t>
      </w:r>
      <w:proofErr w:type="spellStart"/>
      <w:r w:rsidRPr="00827C41">
        <w:t>were</w:t>
      </w:r>
      <w:proofErr w:type="spellEnd"/>
      <w:r w:rsidRPr="00827C41">
        <w:t xml:space="preserve"> </w:t>
      </w:r>
      <w:proofErr w:type="spellStart"/>
      <w:r w:rsidRPr="00827C41">
        <w:t>performed</w:t>
      </w:r>
      <w:proofErr w:type="spellEnd"/>
      <w:r w:rsidRPr="00827C41">
        <w:t xml:space="preserve"> to </w:t>
      </w:r>
      <w:proofErr w:type="spellStart"/>
      <w:r w:rsidRPr="00827C41">
        <w:t>confirm</w:t>
      </w:r>
      <w:proofErr w:type="spellEnd"/>
      <w:r w:rsidRPr="00827C41">
        <w:t xml:space="preserve"> </w:t>
      </w:r>
      <w:proofErr w:type="spellStart"/>
      <w:r w:rsidRPr="00827C41">
        <w:t>whether</w:t>
      </w:r>
      <w:proofErr w:type="spellEnd"/>
      <w:r w:rsidRPr="00827C41">
        <w:t xml:space="preserve"> </w:t>
      </w:r>
      <w:proofErr w:type="spellStart"/>
      <w:r w:rsidRPr="00827C41">
        <w:t>the</w:t>
      </w:r>
      <w:proofErr w:type="spellEnd"/>
      <w:r w:rsidRPr="00827C41">
        <w:t xml:space="preserve"> </w:t>
      </w:r>
      <w:proofErr w:type="spellStart"/>
      <w:r w:rsidRPr="00827C41">
        <w:t>assessments</w:t>
      </w:r>
      <w:proofErr w:type="spellEnd"/>
      <w:r w:rsidRPr="00827C41">
        <w:t xml:space="preserve"> of AULA and RULA </w:t>
      </w:r>
      <w:proofErr w:type="spellStart"/>
      <w:r w:rsidRPr="00827C41">
        <w:t>match</w:t>
      </w:r>
      <w:proofErr w:type="spellEnd"/>
      <w:r w:rsidRPr="00827C41">
        <w:t xml:space="preserve"> </w:t>
      </w:r>
      <w:proofErr w:type="spellStart"/>
      <w:r>
        <w:t>with</w:t>
      </w:r>
      <w:proofErr w:type="spellEnd"/>
      <w:r w:rsidRPr="00827C41">
        <w:t xml:space="preserve"> </w:t>
      </w:r>
      <w:proofErr w:type="spellStart"/>
      <w:r w:rsidRPr="00827C41">
        <w:t>the</w:t>
      </w:r>
      <w:proofErr w:type="spellEnd"/>
      <w:r w:rsidRPr="00827C41">
        <w:t xml:space="preserve"> </w:t>
      </w:r>
      <w:proofErr w:type="spellStart"/>
      <w:r w:rsidRPr="00827C41">
        <w:t>experts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are</w:t>
      </w:r>
      <w:r w:rsidRPr="00827C41">
        <w:t xml:space="preserve"> hit rate </w:t>
      </w:r>
      <w:proofErr w:type="spellStart"/>
      <w:r w:rsidRPr="00827C41">
        <w:t>analysis</w:t>
      </w:r>
      <w:proofErr w:type="spellEnd"/>
      <w:r w:rsidRPr="00827C41">
        <w:t xml:space="preserve">, </w:t>
      </w:r>
      <w:proofErr w:type="spellStart"/>
      <w:r w:rsidRPr="00827C41">
        <w:t>squared-weighted</w:t>
      </w:r>
      <w:proofErr w:type="spellEnd"/>
      <w:r w:rsidRPr="00827C41">
        <w:t xml:space="preserve"> </w:t>
      </w:r>
      <w:proofErr w:type="spellStart"/>
      <w:r w:rsidRPr="00827C41">
        <w:t>kappa</w:t>
      </w:r>
      <w:proofErr w:type="spellEnd"/>
      <w:r w:rsidRPr="00827C41">
        <w:t xml:space="preserve"> </w:t>
      </w:r>
      <w:proofErr w:type="spellStart"/>
      <w:r w:rsidRPr="00827C41">
        <w:t>analysis</w:t>
      </w:r>
      <w:proofErr w:type="spellEnd"/>
      <w:r w:rsidRPr="00827C41">
        <w:t xml:space="preserve">, and </w:t>
      </w:r>
      <w:proofErr w:type="spellStart"/>
      <w:r w:rsidRPr="00827C41">
        <w:t>independent</w:t>
      </w:r>
      <w:proofErr w:type="spellEnd"/>
      <w:r w:rsidRPr="00827C41">
        <w:t xml:space="preserve"> t-test. </w:t>
      </w:r>
      <w:proofErr w:type="spellStart"/>
      <w:r w:rsidRPr="00827C41">
        <w:t>The</w:t>
      </w:r>
      <w:proofErr w:type="spellEnd"/>
      <w:r w:rsidRPr="00827C41">
        <w:t xml:space="preserve"> hit rate </w:t>
      </w:r>
      <w:proofErr w:type="spellStart"/>
      <w:r w:rsidRPr="00827C41">
        <w:t>analysis</w:t>
      </w:r>
      <w:proofErr w:type="spellEnd"/>
      <w:r w:rsidRPr="00827C41">
        <w:t xml:space="preserve"> </w:t>
      </w:r>
      <w:proofErr w:type="spellStart"/>
      <w:r w:rsidRPr="00827C41">
        <w:t>was</w:t>
      </w:r>
      <w:proofErr w:type="spellEnd"/>
      <w:r w:rsidRPr="00827C41">
        <w:t xml:space="preserve"> </w:t>
      </w:r>
      <w:proofErr w:type="spellStart"/>
      <w:r w:rsidRPr="00827C41">
        <w:t>conducted</w:t>
      </w:r>
      <w:proofErr w:type="spellEnd"/>
      <w:r w:rsidRPr="00827C41">
        <w:t xml:space="preserve"> to </w:t>
      </w:r>
      <w:proofErr w:type="spellStart"/>
      <w:r w:rsidRPr="00827C41">
        <w:t>compare</w:t>
      </w:r>
      <w:proofErr w:type="spellEnd"/>
      <w:r w:rsidRPr="00827C41">
        <w:t xml:space="preserve"> </w:t>
      </w:r>
      <w:proofErr w:type="spellStart"/>
      <w:r w:rsidRPr="00827C41">
        <w:t>the</w:t>
      </w:r>
      <w:proofErr w:type="spellEnd"/>
      <w:r w:rsidRPr="00827C41">
        <w:t xml:space="preserve"> </w:t>
      </w:r>
      <w:proofErr w:type="spellStart"/>
      <w:r w:rsidRPr="00827C41">
        <w:t>assessment</w:t>
      </w:r>
      <w:proofErr w:type="spellEnd"/>
      <w:r w:rsidRPr="00827C41">
        <w:t xml:space="preserve"> of </w:t>
      </w:r>
      <w:proofErr w:type="spellStart"/>
      <w:r w:rsidRPr="00827C41">
        <w:t>the</w:t>
      </w:r>
      <w:proofErr w:type="spellEnd"/>
      <w:r w:rsidRPr="00827C41">
        <w:t xml:space="preserve"> expert and </w:t>
      </w:r>
      <w:proofErr w:type="spellStart"/>
      <w:r w:rsidRPr="00827C41">
        <w:t>each</w:t>
      </w:r>
      <w:proofErr w:type="spellEnd"/>
      <w:r w:rsidRPr="00827C41">
        <w:t xml:space="preserve"> </w:t>
      </w:r>
      <w:proofErr w:type="spellStart"/>
      <w:r w:rsidRPr="00827C41">
        <w:t>method</w:t>
      </w:r>
      <w:proofErr w:type="spellEnd"/>
      <w:r w:rsidRPr="00827C41">
        <w:t xml:space="preserve">. </w:t>
      </w:r>
      <w:proofErr w:type="spellStart"/>
      <w:r w:rsidRPr="00827C41">
        <w:t>The</w:t>
      </w:r>
      <w:proofErr w:type="spellEnd"/>
      <w:r w:rsidRPr="00827C41">
        <w:t xml:space="preserve"> </w:t>
      </w:r>
      <w:proofErr w:type="spellStart"/>
      <w:r w:rsidRPr="00827C41">
        <w:t>squared-weighted</w:t>
      </w:r>
      <w:proofErr w:type="spellEnd"/>
      <w:r w:rsidRPr="00827C41">
        <w:t xml:space="preserve"> </w:t>
      </w:r>
      <w:proofErr w:type="spellStart"/>
      <w:r w:rsidRPr="00827C41">
        <w:t>kappa</w:t>
      </w:r>
      <w:proofErr w:type="spellEnd"/>
      <w:r w:rsidRPr="00827C41">
        <w:t xml:space="preserve"> </w:t>
      </w:r>
      <w:proofErr w:type="spellStart"/>
      <w:r w:rsidRPr="00827C41">
        <w:t>analysis</w:t>
      </w:r>
      <w:proofErr w:type="spellEnd"/>
      <w:r w:rsidRPr="00827C41">
        <w:t xml:space="preserve"> </w:t>
      </w:r>
      <w:proofErr w:type="spellStart"/>
      <w:r w:rsidRPr="00827C41">
        <w:t>was</w:t>
      </w:r>
      <w:proofErr w:type="spellEnd"/>
      <w:r w:rsidRPr="00827C41">
        <w:t xml:space="preserve"> </w:t>
      </w:r>
      <w:proofErr w:type="spellStart"/>
      <w:r w:rsidRPr="00827C41">
        <w:t>performed</w:t>
      </w:r>
      <w:proofErr w:type="spellEnd"/>
      <w:r w:rsidRPr="00827C41">
        <w:t xml:space="preserve"> to </w:t>
      </w:r>
      <w:proofErr w:type="spellStart"/>
      <w:r w:rsidRPr="00827C41">
        <w:t>measure</w:t>
      </w:r>
      <w:proofErr w:type="spellEnd"/>
      <w:r w:rsidRPr="00827C41">
        <w:t xml:space="preserve"> </w:t>
      </w:r>
      <w:proofErr w:type="spellStart"/>
      <w:r w:rsidRPr="00827C41">
        <w:t>agreement</w:t>
      </w:r>
      <w:proofErr w:type="spellEnd"/>
      <w:r w:rsidRPr="00827C41">
        <w:t xml:space="preserve"> </w:t>
      </w:r>
      <w:proofErr w:type="spellStart"/>
      <w:r w:rsidRPr="00827C41">
        <w:t>between</w:t>
      </w:r>
      <w:proofErr w:type="spellEnd"/>
      <w:r w:rsidRPr="00827C41">
        <w:t xml:space="preserve"> </w:t>
      </w:r>
      <w:proofErr w:type="spellStart"/>
      <w:r w:rsidRPr="00827C41">
        <w:t>the</w:t>
      </w:r>
      <w:proofErr w:type="spellEnd"/>
      <w:r w:rsidRPr="00827C41">
        <w:t xml:space="preserve"> </w:t>
      </w:r>
      <w:proofErr w:type="spellStart"/>
      <w:r w:rsidRPr="00827C41">
        <w:t>res</w:t>
      </w:r>
      <w:r w:rsidRPr="00827C41">
        <w:t>ult</w:t>
      </w:r>
      <w:proofErr w:type="spellEnd"/>
      <w:r w:rsidRPr="00827C41">
        <w:t xml:space="preserve"> of </w:t>
      </w:r>
      <w:proofErr w:type="spellStart"/>
      <w:r w:rsidRPr="00827C41">
        <w:t>experts</w:t>
      </w:r>
      <w:proofErr w:type="spellEnd"/>
      <w:r w:rsidRPr="00827C41">
        <w:t xml:space="preserve"> and </w:t>
      </w:r>
      <w:proofErr w:type="spellStart"/>
      <w:r w:rsidRPr="00827C41">
        <w:t>the</w:t>
      </w:r>
      <w:proofErr w:type="spellEnd"/>
      <w:r w:rsidRPr="00827C41">
        <w:t xml:space="preserve"> </w:t>
      </w:r>
      <w:proofErr w:type="spellStart"/>
      <w:r w:rsidRPr="00827C41">
        <w:t>evaluation</w:t>
      </w:r>
      <w:proofErr w:type="spellEnd"/>
      <w:r w:rsidRPr="00827C41">
        <w:t xml:space="preserve"> </w:t>
      </w:r>
      <w:proofErr w:type="spellStart"/>
      <w:r w:rsidRPr="00827C41">
        <w:t>tools</w:t>
      </w:r>
      <w:proofErr w:type="spellEnd"/>
      <w:r w:rsidRPr="00827C41">
        <w:t xml:space="preserve">. </w:t>
      </w:r>
      <w:proofErr w:type="spellStart"/>
      <w:r w:rsidRPr="00827C41">
        <w:t>Based</w:t>
      </w:r>
      <w:proofErr w:type="spellEnd"/>
      <w:r w:rsidRPr="00827C41">
        <w:t xml:space="preserve"> on </w:t>
      </w:r>
      <w:proofErr w:type="spellStart"/>
      <w:r w:rsidRPr="00827C41">
        <w:t>the</w:t>
      </w:r>
      <w:proofErr w:type="spellEnd"/>
      <w:r w:rsidRPr="00827C41">
        <w:t xml:space="preserve"> </w:t>
      </w:r>
      <w:proofErr w:type="spellStart"/>
      <w:r w:rsidRPr="00827C41">
        <w:t>Kappa</w:t>
      </w:r>
      <w:proofErr w:type="spellEnd"/>
      <w:r w:rsidRPr="00827C41">
        <w:t xml:space="preserve"> </w:t>
      </w:r>
      <w:proofErr w:type="spellStart"/>
      <w:r w:rsidRPr="00827C41">
        <w:t>score</w:t>
      </w:r>
      <w:proofErr w:type="spellEnd"/>
      <w:r w:rsidRPr="00827C41">
        <w:t xml:space="preserve"> </w:t>
      </w:r>
      <w:proofErr w:type="spellStart"/>
      <w:r w:rsidRPr="00827C41">
        <w:t>analysis</w:t>
      </w:r>
      <w:proofErr w:type="spellEnd"/>
      <w:r w:rsidRPr="00827C41">
        <w:t xml:space="preserve"> </w:t>
      </w:r>
      <w:proofErr w:type="spellStart"/>
      <w:r w:rsidRPr="00827C41">
        <w:t>criteria</w:t>
      </w:r>
      <w:proofErr w:type="spellEnd"/>
      <w:r w:rsidRPr="00827C41">
        <w:t xml:space="preserve"> </w:t>
      </w:r>
      <w:proofErr w:type="spellStart"/>
      <w:r w:rsidRPr="00827C41">
        <w:t>shown</w:t>
      </w:r>
      <w:proofErr w:type="spellEnd"/>
      <w:r w:rsidRPr="00827C41">
        <w:t xml:space="preserve"> in Table 1 [</w:t>
      </w:r>
      <w:r>
        <w:t>14</w:t>
      </w:r>
      <w:r w:rsidRPr="00827C41">
        <w:t xml:space="preserve">], </w:t>
      </w:r>
      <w:proofErr w:type="spellStart"/>
      <w:r w:rsidRPr="00827C41">
        <w:t>the</w:t>
      </w:r>
      <w:proofErr w:type="spellEnd"/>
      <w:r w:rsidRPr="00827C41">
        <w:t xml:space="preserve"> </w:t>
      </w:r>
      <w:proofErr w:type="spellStart"/>
      <w:r w:rsidRPr="00827C41">
        <w:t>analysis</w:t>
      </w:r>
      <w:proofErr w:type="spellEnd"/>
      <w:r w:rsidRPr="00827C41">
        <w:t xml:space="preserve"> </w:t>
      </w:r>
      <w:proofErr w:type="spellStart"/>
      <w:r w:rsidRPr="00827C41">
        <w:t>was</w:t>
      </w:r>
      <w:proofErr w:type="spellEnd"/>
      <w:r w:rsidRPr="00827C41">
        <w:t xml:space="preserve"> </w:t>
      </w:r>
      <w:proofErr w:type="spellStart"/>
      <w:r w:rsidRPr="00827C41">
        <w:t>performed</w:t>
      </w:r>
      <w:proofErr w:type="spellEnd"/>
      <w:r w:rsidRPr="00827C41">
        <w:t xml:space="preserve">. </w:t>
      </w:r>
      <w:proofErr w:type="spellStart"/>
      <w:r w:rsidRPr="00827C41">
        <w:t>Based</w:t>
      </w:r>
      <w:proofErr w:type="spellEnd"/>
      <w:r w:rsidRPr="00827C41">
        <w:t xml:space="preserve"> on </w:t>
      </w:r>
      <w:proofErr w:type="spellStart"/>
      <w:r w:rsidRPr="00827C41">
        <w:t>this</w:t>
      </w:r>
      <w:proofErr w:type="spellEnd"/>
      <w:r w:rsidRPr="00827C41">
        <w:t xml:space="preserve"> </w:t>
      </w:r>
      <w:proofErr w:type="spellStart"/>
      <w:r w:rsidRPr="00827C41">
        <w:t>quadratic</w:t>
      </w:r>
      <w:proofErr w:type="spellEnd"/>
      <w:r w:rsidRPr="00827C41">
        <w:t xml:space="preserve"> </w:t>
      </w:r>
      <w:proofErr w:type="spellStart"/>
      <w:r w:rsidRPr="00827C41">
        <w:t>kappa</w:t>
      </w:r>
      <w:proofErr w:type="spellEnd"/>
      <w:r w:rsidRPr="00827C41">
        <w:t xml:space="preserve"> </w:t>
      </w:r>
      <w:proofErr w:type="spellStart"/>
      <w:r w:rsidRPr="00827C41">
        <w:t>analysis</w:t>
      </w:r>
      <w:proofErr w:type="spellEnd"/>
      <w:r w:rsidRPr="00827C41">
        <w:t xml:space="preserve">, </w:t>
      </w:r>
      <w:proofErr w:type="spellStart"/>
      <w:r w:rsidRPr="00827C41">
        <w:t>it</w:t>
      </w:r>
      <w:proofErr w:type="spellEnd"/>
      <w:r w:rsidRPr="00827C41">
        <w:t xml:space="preserve"> </w:t>
      </w:r>
      <w:proofErr w:type="spellStart"/>
      <w:r w:rsidRPr="00827C41">
        <w:t>will</w:t>
      </w:r>
      <w:proofErr w:type="spellEnd"/>
      <w:r w:rsidRPr="00827C41">
        <w:t xml:space="preserve"> </w:t>
      </w:r>
      <w:proofErr w:type="spellStart"/>
      <w:r w:rsidRPr="00827C41">
        <w:t>be</w:t>
      </w:r>
      <w:proofErr w:type="spellEnd"/>
      <w:r w:rsidRPr="00827C41">
        <w:t xml:space="preserve"> </w:t>
      </w:r>
      <w:proofErr w:type="spellStart"/>
      <w:r w:rsidRPr="00827C41">
        <w:t>obtained</w:t>
      </w:r>
      <w:proofErr w:type="spellEnd"/>
      <w:r w:rsidRPr="00827C41">
        <w:t xml:space="preserve"> </w:t>
      </w:r>
      <w:proofErr w:type="spellStart"/>
      <w:r w:rsidRPr="00827C41">
        <w:t>which</w:t>
      </w:r>
      <w:proofErr w:type="spellEnd"/>
      <w:r w:rsidRPr="00827C41">
        <w:t xml:space="preserve"> </w:t>
      </w:r>
      <w:proofErr w:type="spellStart"/>
      <w:r w:rsidRPr="00827C41">
        <w:t>method</w:t>
      </w:r>
      <w:proofErr w:type="spellEnd"/>
      <w:r w:rsidRPr="00827C41">
        <w:t xml:space="preserve"> </w:t>
      </w:r>
      <w:proofErr w:type="spellStart"/>
      <w:r w:rsidRPr="00827C41">
        <w:t>is</w:t>
      </w:r>
      <w:proofErr w:type="spellEnd"/>
      <w:r w:rsidRPr="00827C41">
        <w:t xml:space="preserve"> most </w:t>
      </w:r>
      <w:proofErr w:type="spellStart"/>
      <w:r w:rsidRPr="00827C41">
        <w:t>appropriate</w:t>
      </w:r>
      <w:proofErr w:type="spellEnd"/>
      <w:r w:rsidRPr="00827C41">
        <w:t xml:space="preserve"> </w:t>
      </w:r>
      <w:proofErr w:type="spellStart"/>
      <w:r w:rsidRPr="00827C41">
        <w:t>for</w:t>
      </w:r>
      <w:proofErr w:type="spellEnd"/>
      <w:r w:rsidRPr="00827C41">
        <w:t xml:space="preserve"> </w:t>
      </w:r>
      <w:proofErr w:type="spellStart"/>
      <w:r w:rsidRPr="00827C41">
        <w:t>the</w:t>
      </w:r>
      <w:proofErr w:type="spellEnd"/>
      <w:r w:rsidRPr="00827C41">
        <w:t xml:space="preserve"> </w:t>
      </w:r>
      <w:proofErr w:type="spellStart"/>
      <w:r w:rsidRPr="00827C41">
        <w:t>expert's</w:t>
      </w:r>
      <w:proofErr w:type="spellEnd"/>
      <w:r w:rsidRPr="00827C41">
        <w:t xml:space="preserve"> </w:t>
      </w:r>
      <w:proofErr w:type="spellStart"/>
      <w:r w:rsidRPr="00827C41">
        <w:t>assessment</w:t>
      </w:r>
      <w:proofErr w:type="spellEnd"/>
      <w:r w:rsidRPr="00827C41">
        <w:t>,</w:t>
      </w:r>
      <w:r w:rsidRPr="00827C41">
        <w:t xml:space="preserve"> </w:t>
      </w:r>
      <w:proofErr w:type="spellStart"/>
      <w:r w:rsidRPr="00827C41">
        <w:t>which</w:t>
      </w:r>
      <w:proofErr w:type="spellEnd"/>
      <w:r w:rsidRPr="00827C41">
        <w:t xml:space="preserve"> </w:t>
      </w:r>
      <w:proofErr w:type="spellStart"/>
      <w:r w:rsidRPr="00827C41">
        <w:t>means</w:t>
      </w:r>
      <w:proofErr w:type="spellEnd"/>
      <w:r w:rsidRPr="00827C41">
        <w:t xml:space="preserve"> </w:t>
      </w:r>
      <w:proofErr w:type="spellStart"/>
      <w:r w:rsidRPr="00827C41">
        <w:t>that</w:t>
      </w:r>
      <w:proofErr w:type="spellEnd"/>
      <w:r w:rsidRPr="00827C41">
        <w:t xml:space="preserve"> </w:t>
      </w:r>
      <w:proofErr w:type="spellStart"/>
      <w:r w:rsidRPr="00827C41">
        <w:t>this</w:t>
      </w:r>
      <w:proofErr w:type="spellEnd"/>
      <w:r w:rsidRPr="00827C41">
        <w:t xml:space="preserve"> </w:t>
      </w:r>
      <w:proofErr w:type="spellStart"/>
      <w:r w:rsidRPr="00827C41">
        <w:t>method</w:t>
      </w:r>
      <w:proofErr w:type="spellEnd"/>
      <w:r w:rsidRPr="00827C41">
        <w:t xml:space="preserve"> </w:t>
      </w:r>
      <w:proofErr w:type="spellStart"/>
      <w:r w:rsidRPr="00827C41">
        <w:t>is</w:t>
      </w:r>
      <w:proofErr w:type="spellEnd"/>
      <w:r w:rsidRPr="00827C41">
        <w:t xml:space="preserve"> </w:t>
      </w:r>
      <w:proofErr w:type="spellStart"/>
      <w:r w:rsidRPr="00827C41">
        <w:t>the</w:t>
      </w:r>
      <w:proofErr w:type="spellEnd"/>
      <w:r w:rsidRPr="00827C41">
        <w:t xml:space="preserve"> most </w:t>
      </w:r>
      <w:proofErr w:type="spellStart"/>
      <w:r w:rsidRPr="00827C41">
        <w:t>suitable</w:t>
      </w:r>
      <w:proofErr w:type="spellEnd"/>
      <w:r w:rsidRPr="00827C41">
        <w:t xml:space="preserve"> to </w:t>
      </w:r>
      <w:proofErr w:type="spellStart"/>
      <w:r w:rsidRPr="00827C41">
        <w:t>be</w:t>
      </w:r>
      <w:proofErr w:type="spellEnd"/>
      <w:r w:rsidRPr="00827C41">
        <w:t xml:space="preserve"> </w:t>
      </w:r>
      <w:proofErr w:type="spellStart"/>
      <w:r w:rsidRPr="00827C41">
        <w:t>applied</w:t>
      </w:r>
      <w:proofErr w:type="spellEnd"/>
      <w:r w:rsidRPr="00827C41">
        <w:t xml:space="preserve"> to </w:t>
      </w:r>
      <w:proofErr w:type="spellStart"/>
      <w:r w:rsidRPr="00827C41">
        <w:t>measure</w:t>
      </w:r>
      <w:proofErr w:type="spellEnd"/>
      <w:r w:rsidRPr="00827C41">
        <w:t xml:space="preserve"> </w:t>
      </w:r>
      <w:proofErr w:type="spellStart"/>
      <w:r w:rsidRPr="00827C41">
        <w:t>the</w:t>
      </w:r>
      <w:proofErr w:type="spellEnd"/>
      <w:r w:rsidRPr="00827C41">
        <w:t xml:space="preserve"> </w:t>
      </w:r>
      <w:proofErr w:type="spellStart"/>
      <w:r w:rsidRPr="00827C41">
        <w:t>ergonomic</w:t>
      </w:r>
      <w:proofErr w:type="spellEnd"/>
      <w:r w:rsidRPr="00827C41">
        <w:t xml:space="preserve"> risk of </w:t>
      </w:r>
      <w:proofErr w:type="spellStart"/>
      <w:r w:rsidRPr="00827C41">
        <w:t>work</w:t>
      </w:r>
      <w:proofErr w:type="spellEnd"/>
      <w:r w:rsidRPr="00827C41">
        <w:t xml:space="preserve"> </w:t>
      </w:r>
      <w:proofErr w:type="spellStart"/>
      <w:r w:rsidRPr="00827C41">
        <w:t>posture</w:t>
      </w:r>
      <w:proofErr w:type="spellEnd"/>
      <w:r w:rsidRPr="00827C41">
        <w:t xml:space="preserve"> in </w:t>
      </w:r>
      <w:proofErr w:type="spellStart"/>
      <w:r w:rsidRPr="00827C41">
        <w:t>oyster</w:t>
      </w:r>
      <w:proofErr w:type="spellEnd"/>
      <w:r w:rsidRPr="00827C41">
        <w:t xml:space="preserve"> </w:t>
      </w:r>
      <w:proofErr w:type="spellStart"/>
      <w:r w:rsidRPr="00827C41">
        <w:t>mushroom</w:t>
      </w:r>
      <w:proofErr w:type="spellEnd"/>
      <w:r w:rsidRPr="00827C41">
        <w:t xml:space="preserve"> </w:t>
      </w:r>
      <w:proofErr w:type="spellStart"/>
      <w:r w:rsidRPr="00827C41">
        <w:t>cultivation</w:t>
      </w:r>
      <w:proofErr w:type="spellEnd"/>
      <w:r w:rsidRPr="00827C41">
        <w:t xml:space="preserve"> </w:t>
      </w:r>
      <w:proofErr w:type="spellStart"/>
      <w:r w:rsidRPr="00827C41">
        <w:t>activities</w:t>
      </w:r>
      <w:proofErr w:type="spellEnd"/>
      <w:r w:rsidRPr="00827C41">
        <w:t xml:space="preserve">. </w:t>
      </w:r>
      <w:proofErr w:type="spellStart"/>
      <w:r w:rsidRPr="00827C41">
        <w:t>Meanwhile</w:t>
      </w:r>
      <w:proofErr w:type="spellEnd"/>
      <w:r w:rsidRPr="00827C41">
        <w:t xml:space="preserve">, </w:t>
      </w:r>
      <w:proofErr w:type="spellStart"/>
      <w:r w:rsidRPr="00827C41">
        <w:t>the</w:t>
      </w:r>
      <w:proofErr w:type="spellEnd"/>
      <w:r w:rsidRPr="00827C41">
        <w:t xml:space="preserve"> </w:t>
      </w:r>
      <w:proofErr w:type="spellStart"/>
      <w:r w:rsidRPr="00827C41">
        <w:t>independent</w:t>
      </w:r>
      <w:proofErr w:type="spellEnd"/>
      <w:r w:rsidRPr="00827C41">
        <w:t xml:space="preserve"> t-test </w:t>
      </w:r>
      <w:proofErr w:type="spellStart"/>
      <w:r w:rsidRPr="00827C41">
        <w:t>was</w:t>
      </w:r>
      <w:proofErr w:type="spellEnd"/>
      <w:r w:rsidRPr="00827C41">
        <w:t xml:space="preserve"> </w:t>
      </w:r>
      <w:proofErr w:type="spellStart"/>
      <w:r w:rsidRPr="00827C41">
        <w:t>conducted</w:t>
      </w:r>
      <w:proofErr w:type="spellEnd"/>
      <w:r w:rsidRPr="00827C41">
        <w:t xml:space="preserve"> to test </w:t>
      </w:r>
      <w:proofErr w:type="spellStart"/>
      <w:r w:rsidRPr="00827C41">
        <w:t>the</w:t>
      </w:r>
      <w:proofErr w:type="spellEnd"/>
      <w:r w:rsidRPr="00827C41">
        <w:t xml:space="preserve"> </w:t>
      </w:r>
      <w:proofErr w:type="spellStart"/>
      <w:r w:rsidRPr="00827C41">
        <w:t>significance</w:t>
      </w:r>
      <w:proofErr w:type="spellEnd"/>
      <w:r w:rsidRPr="00827C41">
        <w:t xml:space="preserve"> </w:t>
      </w:r>
      <w:proofErr w:type="spellStart"/>
      <w:r w:rsidRPr="00827C41">
        <w:t>between</w:t>
      </w:r>
      <w:proofErr w:type="spellEnd"/>
      <w:r w:rsidRPr="00827C41">
        <w:t xml:space="preserve"> </w:t>
      </w:r>
      <w:proofErr w:type="spellStart"/>
      <w:r w:rsidRPr="00827C41">
        <w:t>the</w:t>
      </w:r>
      <w:proofErr w:type="spellEnd"/>
      <w:r w:rsidRPr="00827C41">
        <w:t xml:space="preserve"> expert </w:t>
      </w:r>
      <w:proofErr w:type="spellStart"/>
      <w:r w:rsidRPr="00827C41">
        <w:t>assessment</w:t>
      </w:r>
      <w:r w:rsidRPr="00827C41">
        <w:t>s</w:t>
      </w:r>
      <w:proofErr w:type="spellEnd"/>
      <w:r w:rsidRPr="00827C41">
        <w:t xml:space="preserve"> and </w:t>
      </w:r>
      <w:proofErr w:type="spellStart"/>
      <w:r w:rsidRPr="00827C41">
        <w:t>the</w:t>
      </w:r>
      <w:proofErr w:type="spellEnd"/>
      <w:r w:rsidRPr="00827C41">
        <w:t xml:space="preserve"> AULA or RULA </w:t>
      </w:r>
      <w:proofErr w:type="spellStart"/>
      <w:r w:rsidRPr="00827C41">
        <w:t>calculations</w:t>
      </w:r>
      <w:proofErr w:type="spellEnd"/>
      <w:r w:rsidRPr="00827C41">
        <w:t xml:space="preserve">, </w:t>
      </w:r>
      <w:proofErr w:type="spellStart"/>
      <w:r w:rsidRPr="002D572F">
        <w:t>whether</w:t>
      </w:r>
      <w:proofErr w:type="spellEnd"/>
      <w:r w:rsidRPr="002D572F">
        <w:t xml:space="preserve"> </w:t>
      </w:r>
      <w:proofErr w:type="spellStart"/>
      <w:r w:rsidRPr="002D572F">
        <w:t>they</w:t>
      </w:r>
      <w:proofErr w:type="spellEnd"/>
      <w:r w:rsidRPr="002D572F">
        <w:t xml:space="preserve"> had </w:t>
      </w:r>
      <w:proofErr w:type="spellStart"/>
      <w:r w:rsidRPr="002D572F">
        <w:t>the</w:t>
      </w:r>
      <w:proofErr w:type="spellEnd"/>
      <w:r w:rsidRPr="002D572F">
        <w:t xml:space="preserve"> </w:t>
      </w:r>
      <w:proofErr w:type="spellStart"/>
      <w:r w:rsidRPr="002D572F">
        <w:t>same</w:t>
      </w:r>
      <w:proofErr w:type="spellEnd"/>
      <w:r w:rsidRPr="002D572F">
        <w:t xml:space="preserve"> </w:t>
      </w:r>
      <w:proofErr w:type="spellStart"/>
      <w:r w:rsidRPr="002D572F">
        <w:t>assessment</w:t>
      </w:r>
      <w:proofErr w:type="spellEnd"/>
      <w:r w:rsidRPr="002D572F">
        <w:t xml:space="preserve"> or </w:t>
      </w:r>
      <w:proofErr w:type="spellStart"/>
      <w:r w:rsidRPr="002D572F">
        <w:t>were</w:t>
      </w:r>
      <w:proofErr w:type="spellEnd"/>
      <w:r w:rsidRPr="002D572F">
        <w:t xml:space="preserve"> </w:t>
      </w:r>
      <w:proofErr w:type="spellStart"/>
      <w:r w:rsidRPr="002D572F">
        <w:t>significantly</w:t>
      </w:r>
      <w:proofErr w:type="spellEnd"/>
      <w:r w:rsidRPr="002D572F">
        <w:t xml:space="preserve"> </w:t>
      </w:r>
      <w:proofErr w:type="spellStart"/>
      <w:r w:rsidRPr="002D572F">
        <w:t>different</w:t>
      </w:r>
      <w:proofErr w:type="spellEnd"/>
      <w:r w:rsidRPr="002D572F">
        <w:t xml:space="preserve">. In </w:t>
      </w:r>
      <w:proofErr w:type="spellStart"/>
      <w:r w:rsidRPr="002D572F">
        <w:t>addition</w:t>
      </w:r>
      <w:proofErr w:type="spellEnd"/>
      <w:r w:rsidRPr="002D572F">
        <w:t xml:space="preserve">, </w:t>
      </w:r>
      <w:proofErr w:type="spellStart"/>
      <w:r w:rsidRPr="002D572F">
        <w:t>an</w:t>
      </w:r>
      <w:proofErr w:type="spellEnd"/>
      <w:r w:rsidRPr="002D572F">
        <w:t xml:space="preserve"> </w:t>
      </w:r>
      <w:proofErr w:type="spellStart"/>
      <w:r w:rsidRPr="002D572F">
        <w:t>independent</w:t>
      </w:r>
      <w:proofErr w:type="spellEnd"/>
      <w:r w:rsidRPr="002D572F">
        <w:t xml:space="preserve"> t-test </w:t>
      </w:r>
      <w:proofErr w:type="spellStart"/>
      <w:r w:rsidRPr="002D572F">
        <w:t>was</w:t>
      </w:r>
      <w:proofErr w:type="spellEnd"/>
      <w:r w:rsidRPr="002D572F">
        <w:t xml:space="preserve"> </w:t>
      </w:r>
      <w:proofErr w:type="spellStart"/>
      <w:r w:rsidRPr="002D572F">
        <w:t>conducted</w:t>
      </w:r>
      <w:proofErr w:type="spellEnd"/>
      <w:r w:rsidRPr="002D572F">
        <w:t xml:space="preserve"> to </w:t>
      </w:r>
      <w:proofErr w:type="spellStart"/>
      <w:r w:rsidRPr="002D572F">
        <w:t>compare</w:t>
      </w:r>
      <w:proofErr w:type="spellEnd"/>
      <w:r w:rsidRPr="002D572F">
        <w:t xml:space="preserve"> </w:t>
      </w:r>
      <w:proofErr w:type="spellStart"/>
      <w:r w:rsidRPr="002D572F">
        <w:t>whether</w:t>
      </w:r>
      <w:proofErr w:type="spellEnd"/>
      <w:r w:rsidRPr="002D572F">
        <w:t xml:space="preserve"> </w:t>
      </w:r>
      <w:proofErr w:type="spellStart"/>
      <w:r w:rsidRPr="002D572F">
        <w:t>there</w:t>
      </w:r>
      <w:proofErr w:type="spellEnd"/>
      <w:r w:rsidRPr="002D572F">
        <w:t xml:space="preserve"> </w:t>
      </w:r>
      <w:proofErr w:type="spellStart"/>
      <w:r w:rsidRPr="002D572F">
        <w:t>was</w:t>
      </w:r>
      <w:proofErr w:type="spellEnd"/>
      <w:r w:rsidRPr="002D572F">
        <w:t xml:space="preserve"> a </w:t>
      </w:r>
      <w:proofErr w:type="spellStart"/>
      <w:r w:rsidRPr="002D572F">
        <w:t>significant</w:t>
      </w:r>
      <w:proofErr w:type="spellEnd"/>
      <w:r w:rsidRPr="002D572F">
        <w:t xml:space="preserve"> </w:t>
      </w:r>
      <w:proofErr w:type="spellStart"/>
      <w:r w:rsidRPr="002D572F">
        <w:t>difference</w:t>
      </w:r>
      <w:proofErr w:type="spellEnd"/>
      <w:r w:rsidRPr="002D572F">
        <w:t xml:space="preserve"> in </w:t>
      </w:r>
      <w:proofErr w:type="spellStart"/>
      <w:r w:rsidRPr="002D572F">
        <w:t>the</w:t>
      </w:r>
      <w:proofErr w:type="spellEnd"/>
      <w:r w:rsidRPr="002D572F">
        <w:t xml:space="preserve"> </w:t>
      </w:r>
      <w:proofErr w:type="spellStart"/>
      <w:r w:rsidRPr="002D572F">
        <w:t>assessments</w:t>
      </w:r>
      <w:proofErr w:type="spellEnd"/>
      <w:r w:rsidRPr="002D572F">
        <w:t xml:space="preserve"> </w:t>
      </w:r>
      <w:proofErr w:type="spellStart"/>
      <w:r w:rsidRPr="002D572F">
        <w:t>between</w:t>
      </w:r>
      <w:proofErr w:type="spellEnd"/>
      <w:r w:rsidRPr="002D572F">
        <w:t xml:space="preserve"> AULA and RULA.</w:t>
      </w:r>
    </w:p>
    <w:p w14:paraId="4CDABF2D" w14:textId="77777777" w:rsidR="002E3707" w:rsidRDefault="002E3707" w:rsidP="002E3707">
      <w:pPr>
        <w:jc w:val="both"/>
      </w:pPr>
    </w:p>
    <w:p w14:paraId="7EE4F723" w14:textId="0AB7FEE3" w:rsidR="002E3707" w:rsidRPr="002E3707" w:rsidRDefault="00264603" w:rsidP="002E3707">
      <w:pPr>
        <w:pStyle w:val="Paragraph"/>
        <w:ind w:firstLine="0"/>
        <w:jc w:val="center"/>
      </w:pPr>
      <w:r w:rsidRPr="002E3707">
        <w:rPr>
          <w:b/>
          <w:bCs/>
        </w:rPr>
        <w:t>Tab</w:t>
      </w:r>
      <w:r w:rsidRPr="002E3707">
        <w:rPr>
          <w:b/>
          <w:bCs/>
        </w:rPr>
        <w:t>le 1.</w:t>
      </w:r>
      <w:r w:rsidRPr="002E3707">
        <w:t xml:space="preserve"> Kappa Analysis Criteria (K)</w:t>
      </w:r>
      <w:r w:rsidR="00831027">
        <w:t>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1"/>
        <w:gridCol w:w="2854"/>
      </w:tblGrid>
      <w:tr w:rsidR="007E5ED3" w14:paraId="4B5AB896" w14:textId="77777777" w:rsidTr="00F3791E">
        <w:trPr>
          <w:jc w:val="center"/>
        </w:trPr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0E9F918" w14:textId="77777777" w:rsidR="002E3707" w:rsidRPr="002E3707" w:rsidRDefault="00264603" w:rsidP="00F3791E">
            <w:pPr>
              <w:jc w:val="both"/>
              <w:rPr>
                <w:b/>
                <w:bCs/>
              </w:rPr>
            </w:pPr>
            <w:r w:rsidRPr="002E3707">
              <w:rPr>
                <w:b/>
                <w:bCs/>
              </w:rPr>
              <w:t>Kappa (K)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B05DF78" w14:textId="77777777" w:rsidR="002E3707" w:rsidRPr="002E3707" w:rsidRDefault="00264603" w:rsidP="00F3791E">
            <w:pPr>
              <w:jc w:val="both"/>
              <w:rPr>
                <w:b/>
                <w:bCs/>
              </w:rPr>
            </w:pPr>
            <w:r w:rsidRPr="002E3707">
              <w:rPr>
                <w:b/>
                <w:bCs/>
              </w:rPr>
              <w:t>Strength of Agreement</w:t>
            </w:r>
          </w:p>
        </w:tc>
      </w:tr>
      <w:tr w:rsidR="007E5ED3" w14:paraId="65D60797" w14:textId="77777777" w:rsidTr="00F3791E">
        <w:trPr>
          <w:jc w:val="center"/>
        </w:trPr>
        <w:tc>
          <w:tcPr>
            <w:tcW w:w="1961" w:type="dxa"/>
            <w:tcBorders>
              <w:top w:val="single" w:sz="4" w:space="0" w:color="auto"/>
            </w:tcBorders>
            <w:hideMark/>
          </w:tcPr>
          <w:p w14:paraId="726842F5" w14:textId="77777777" w:rsidR="002E3707" w:rsidRPr="002E3707" w:rsidRDefault="00264603" w:rsidP="00F3791E">
            <w:pPr>
              <w:jc w:val="both"/>
            </w:pPr>
            <w:r w:rsidRPr="002E3707">
              <w:t>&lt;0.20</w:t>
            </w:r>
          </w:p>
        </w:tc>
        <w:tc>
          <w:tcPr>
            <w:tcW w:w="2854" w:type="dxa"/>
            <w:tcBorders>
              <w:top w:val="single" w:sz="4" w:space="0" w:color="auto"/>
            </w:tcBorders>
            <w:hideMark/>
          </w:tcPr>
          <w:p w14:paraId="24DDA37F" w14:textId="77777777" w:rsidR="002E3707" w:rsidRPr="002E3707" w:rsidRDefault="00264603" w:rsidP="00F3791E">
            <w:pPr>
              <w:jc w:val="both"/>
            </w:pPr>
            <w:r w:rsidRPr="002E3707">
              <w:t>Poor</w:t>
            </w:r>
          </w:p>
        </w:tc>
      </w:tr>
      <w:tr w:rsidR="007E5ED3" w14:paraId="67C45970" w14:textId="77777777" w:rsidTr="00F3791E">
        <w:trPr>
          <w:jc w:val="center"/>
        </w:trPr>
        <w:tc>
          <w:tcPr>
            <w:tcW w:w="1961" w:type="dxa"/>
            <w:hideMark/>
          </w:tcPr>
          <w:p w14:paraId="5EEE1E7F" w14:textId="77777777" w:rsidR="002E3707" w:rsidRPr="002E3707" w:rsidRDefault="00264603" w:rsidP="00F3791E">
            <w:pPr>
              <w:jc w:val="both"/>
            </w:pPr>
            <w:r w:rsidRPr="002E3707">
              <w:t>0.21 – 0.40</w:t>
            </w:r>
          </w:p>
        </w:tc>
        <w:tc>
          <w:tcPr>
            <w:tcW w:w="2854" w:type="dxa"/>
            <w:hideMark/>
          </w:tcPr>
          <w:p w14:paraId="7014C487" w14:textId="77777777" w:rsidR="002E3707" w:rsidRPr="002E3707" w:rsidRDefault="00264603" w:rsidP="00F3791E">
            <w:pPr>
              <w:jc w:val="both"/>
            </w:pPr>
            <w:r w:rsidRPr="002E3707">
              <w:t>Fair</w:t>
            </w:r>
          </w:p>
        </w:tc>
      </w:tr>
      <w:tr w:rsidR="007E5ED3" w14:paraId="391A74FA" w14:textId="77777777" w:rsidTr="00F3791E">
        <w:trPr>
          <w:jc w:val="center"/>
        </w:trPr>
        <w:tc>
          <w:tcPr>
            <w:tcW w:w="1961" w:type="dxa"/>
            <w:hideMark/>
          </w:tcPr>
          <w:p w14:paraId="72A81B31" w14:textId="77777777" w:rsidR="002E3707" w:rsidRPr="002E3707" w:rsidRDefault="00264603" w:rsidP="00F3791E">
            <w:pPr>
              <w:jc w:val="both"/>
            </w:pPr>
            <w:r w:rsidRPr="002E3707">
              <w:t>0.41 – 0.60</w:t>
            </w:r>
          </w:p>
        </w:tc>
        <w:tc>
          <w:tcPr>
            <w:tcW w:w="2854" w:type="dxa"/>
            <w:hideMark/>
          </w:tcPr>
          <w:p w14:paraId="36280A28" w14:textId="77777777" w:rsidR="002E3707" w:rsidRPr="002E3707" w:rsidRDefault="00264603" w:rsidP="00F3791E">
            <w:pPr>
              <w:jc w:val="both"/>
            </w:pPr>
            <w:r w:rsidRPr="002E3707">
              <w:t>Moderate</w:t>
            </w:r>
          </w:p>
        </w:tc>
      </w:tr>
      <w:tr w:rsidR="007E5ED3" w14:paraId="062248DC" w14:textId="77777777" w:rsidTr="00F3791E">
        <w:trPr>
          <w:jc w:val="center"/>
        </w:trPr>
        <w:tc>
          <w:tcPr>
            <w:tcW w:w="1961" w:type="dxa"/>
            <w:hideMark/>
          </w:tcPr>
          <w:p w14:paraId="4706697F" w14:textId="77777777" w:rsidR="002E3707" w:rsidRPr="002E3707" w:rsidRDefault="00264603" w:rsidP="00F3791E">
            <w:pPr>
              <w:jc w:val="both"/>
            </w:pPr>
            <w:r w:rsidRPr="002E3707">
              <w:t>0.61 – 0.80</w:t>
            </w:r>
          </w:p>
        </w:tc>
        <w:tc>
          <w:tcPr>
            <w:tcW w:w="2854" w:type="dxa"/>
            <w:hideMark/>
          </w:tcPr>
          <w:p w14:paraId="5C09FC56" w14:textId="77777777" w:rsidR="002E3707" w:rsidRPr="002E3707" w:rsidRDefault="00264603" w:rsidP="00F3791E">
            <w:pPr>
              <w:jc w:val="both"/>
            </w:pPr>
            <w:r w:rsidRPr="002E3707">
              <w:t>Good</w:t>
            </w:r>
          </w:p>
        </w:tc>
      </w:tr>
      <w:tr w:rsidR="007E5ED3" w14:paraId="6C5B208D" w14:textId="77777777" w:rsidTr="00F3791E">
        <w:trPr>
          <w:jc w:val="center"/>
        </w:trPr>
        <w:tc>
          <w:tcPr>
            <w:tcW w:w="1961" w:type="dxa"/>
            <w:tcBorders>
              <w:bottom w:val="single" w:sz="4" w:space="0" w:color="auto"/>
            </w:tcBorders>
            <w:hideMark/>
          </w:tcPr>
          <w:p w14:paraId="6C51DCB0" w14:textId="77777777" w:rsidR="002E3707" w:rsidRPr="002E3707" w:rsidRDefault="00264603" w:rsidP="00F3791E">
            <w:pPr>
              <w:jc w:val="both"/>
            </w:pPr>
            <w:r w:rsidRPr="002E3707">
              <w:t>&gt;0.80</w:t>
            </w:r>
          </w:p>
        </w:tc>
        <w:tc>
          <w:tcPr>
            <w:tcW w:w="2854" w:type="dxa"/>
            <w:tcBorders>
              <w:bottom w:val="single" w:sz="4" w:space="0" w:color="auto"/>
            </w:tcBorders>
            <w:hideMark/>
          </w:tcPr>
          <w:p w14:paraId="1B8C31B1" w14:textId="77777777" w:rsidR="002E3707" w:rsidRPr="002E3707" w:rsidRDefault="00264603" w:rsidP="00F3791E">
            <w:pPr>
              <w:jc w:val="both"/>
            </w:pPr>
            <w:r w:rsidRPr="002E3707">
              <w:t>Very Good</w:t>
            </w:r>
          </w:p>
        </w:tc>
      </w:tr>
    </w:tbl>
    <w:p w14:paraId="7EFCA579" w14:textId="77777777" w:rsidR="00073980" w:rsidRDefault="00264603" w:rsidP="00624DB7">
      <w:pPr>
        <w:keepNext/>
        <w:keepLines/>
        <w:tabs>
          <w:tab w:val="left" w:pos="454"/>
        </w:tabs>
        <w:spacing w:before="520" w:after="280"/>
        <w:jc w:val="both"/>
      </w:pPr>
      <w:r>
        <w:rPr>
          <w:b/>
          <w:sz w:val="24"/>
          <w:szCs w:val="24"/>
        </w:rPr>
        <w:t xml:space="preserve">3   </w:t>
      </w:r>
      <w:proofErr w:type="spellStart"/>
      <w:r>
        <w:rPr>
          <w:b/>
          <w:sz w:val="24"/>
          <w:szCs w:val="24"/>
        </w:rPr>
        <w:t>Results</w:t>
      </w:r>
      <w:proofErr w:type="spellEnd"/>
      <w:r>
        <w:rPr>
          <w:b/>
          <w:sz w:val="24"/>
          <w:szCs w:val="24"/>
        </w:rPr>
        <w:t xml:space="preserve"> and </w:t>
      </w:r>
      <w:proofErr w:type="spellStart"/>
      <w:r>
        <w:rPr>
          <w:b/>
          <w:sz w:val="24"/>
          <w:szCs w:val="24"/>
        </w:rPr>
        <w:t>Discussion</w:t>
      </w:r>
      <w:proofErr w:type="spellEnd"/>
    </w:p>
    <w:p w14:paraId="3D6514A9" w14:textId="77777777" w:rsidR="00097AA0" w:rsidRDefault="00264603">
      <w:pPr>
        <w:rPr>
          <w:b/>
        </w:rPr>
      </w:pPr>
      <w:r>
        <w:rPr>
          <w:b/>
        </w:rPr>
        <w:t>3</w:t>
      </w:r>
      <w:r w:rsidR="006743EB">
        <w:rPr>
          <w:b/>
        </w:rPr>
        <w:t xml:space="preserve">.1   </w:t>
      </w:r>
      <w:r>
        <w:rPr>
          <w:b/>
        </w:rPr>
        <w:t xml:space="preserve">Hit rate </w:t>
      </w:r>
      <w:proofErr w:type="spellStart"/>
      <w:r>
        <w:rPr>
          <w:b/>
        </w:rPr>
        <w:t>analysis</w:t>
      </w:r>
      <w:proofErr w:type="spellEnd"/>
    </w:p>
    <w:p w14:paraId="69D65B0D" w14:textId="77777777" w:rsidR="00097AA0" w:rsidRDefault="00097AA0">
      <w:pPr>
        <w:rPr>
          <w:b/>
        </w:rPr>
      </w:pPr>
    </w:p>
    <w:p w14:paraId="5F7002BF" w14:textId="77777777" w:rsidR="00097AA0" w:rsidRDefault="00264603" w:rsidP="005E310E">
      <w:pPr>
        <w:ind w:firstLine="270"/>
        <w:jc w:val="both"/>
        <w:rPr>
          <w:b/>
        </w:rPr>
      </w:pPr>
      <w:proofErr w:type="spellStart"/>
      <w:r>
        <w:t>The</w:t>
      </w:r>
      <w:proofErr w:type="spellEnd"/>
      <w:r>
        <w:t xml:space="preserve"> hit rate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 xml:space="preserve"> to </w:t>
      </w:r>
      <w:proofErr w:type="spellStart"/>
      <w:r>
        <w:t>examine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experts</w:t>
      </w:r>
      <w:proofErr w:type="spellEnd"/>
      <w:r>
        <w:t xml:space="preserve">’ </w:t>
      </w:r>
      <w:proofErr w:type="spellStart"/>
      <w:r>
        <w:t>assessment</w:t>
      </w:r>
      <w:proofErr w:type="spellEnd"/>
      <w:r>
        <w:t xml:space="preserve"> </w:t>
      </w:r>
      <w:proofErr w:type="spellStart"/>
      <w:r>
        <w:t>matched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risk level </w:t>
      </w:r>
      <w:proofErr w:type="spellStart"/>
      <w:r>
        <w:t>assessment</w:t>
      </w:r>
      <w:proofErr w:type="spellEnd"/>
      <w:r>
        <w:t xml:space="preserve"> of </w:t>
      </w:r>
      <w:proofErr w:type="spellStart"/>
      <w:r>
        <w:t>evaluating</w:t>
      </w:r>
      <w:proofErr w:type="spellEnd"/>
      <w:r>
        <w:t xml:space="preserve"> </w:t>
      </w:r>
      <w:proofErr w:type="spellStart"/>
      <w:r>
        <w:t>tool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2</w:t>
      </w:r>
      <w:r w:rsidR="002D1133">
        <w:t xml:space="preserve">6 </w:t>
      </w:r>
      <w:proofErr w:type="spellStart"/>
      <w:r>
        <w:t>activities</w:t>
      </w:r>
      <w:proofErr w:type="spellEnd"/>
      <w:r>
        <w:t xml:space="preserve"> of </w:t>
      </w:r>
      <w:proofErr w:type="spellStart"/>
      <w:r>
        <w:t>oyster</w:t>
      </w:r>
      <w:proofErr w:type="spellEnd"/>
      <w:r>
        <w:t xml:space="preserve"> </w:t>
      </w:r>
      <w:proofErr w:type="spellStart"/>
      <w:r>
        <w:t>mushroom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hit rate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experts</w:t>
      </w:r>
      <w:proofErr w:type="spellEnd"/>
      <w:r>
        <w:t xml:space="preserve">' and </w:t>
      </w:r>
      <w:r w:rsidR="002D1133">
        <w:t xml:space="preserve">RULA </w:t>
      </w:r>
      <w:proofErr w:type="spellStart"/>
      <w:r>
        <w:t>assessments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71% </w:t>
      </w:r>
      <w:proofErr w:type="spellStart"/>
      <w:r>
        <w:t>for</w:t>
      </w:r>
      <w:proofErr w:type="spellEnd"/>
      <w:r>
        <w:t xml:space="preserve"> risk level 2 and </w:t>
      </w:r>
      <w:r w:rsidR="002D1133">
        <w:t>58</w:t>
      </w:r>
      <w:r>
        <w:t xml:space="preserve">% </w:t>
      </w:r>
      <w:proofErr w:type="spellStart"/>
      <w:r>
        <w:t>for</w:t>
      </w:r>
      <w:proofErr w:type="spellEnd"/>
      <w:r>
        <w:t xml:space="preserve"> risk level 3. Hit ra</w:t>
      </w:r>
      <w:r>
        <w:t xml:space="preserve">te </w:t>
      </w:r>
      <w:proofErr w:type="spellStart"/>
      <w:r>
        <w:t>result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r w:rsidR="002D1133">
        <w:t>A</w:t>
      </w:r>
      <w:r>
        <w:t xml:space="preserve">ULA </w:t>
      </w:r>
      <w:proofErr w:type="spellStart"/>
      <w:r>
        <w:t>assessment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showed</w:t>
      </w:r>
      <w:proofErr w:type="spellEnd"/>
      <w:r>
        <w:t xml:space="preserve"> </w:t>
      </w:r>
      <w:r w:rsidR="002D1133">
        <w:t>86</w:t>
      </w:r>
      <w:r>
        <w:t xml:space="preserve">% </w:t>
      </w:r>
      <w:proofErr w:type="spellStart"/>
      <w:r>
        <w:t>matched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experts</w:t>
      </w:r>
      <w:proofErr w:type="spellEnd"/>
      <w:r>
        <w:t xml:space="preserve">’ </w:t>
      </w:r>
      <w:proofErr w:type="spellStart"/>
      <w:r>
        <w:t>assessment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risk level </w:t>
      </w:r>
      <w:r w:rsidR="002D1133">
        <w:t>2</w:t>
      </w:r>
      <w:r>
        <w:t xml:space="preserve"> and </w:t>
      </w:r>
      <w:r w:rsidR="002D1133">
        <w:t>6</w:t>
      </w:r>
      <w:r>
        <w:t xml:space="preserve">8% </w:t>
      </w:r>
      <w:proofErr w:type="spellStart"/>
      <w:r>
        <w:t>for</w:t>
      </w:r>
      <w:proofErr w:type="spellEnd"/>
      <w:r>
        <w:t xml:space="preserve"> risk level </w:t>
      </w:r>
      <w:r w:rsidR="002D1133">
        <w:t>3</w:t>
      </w:r>
      <w:r>
        <w:t xml:space="preserve">. </w:t>
      </w:r>
      <w:proofErr w:type="spellStart"/>
      <w:r w:rsidR="00AD2BDB">
        <w:t>The</w:t>
      </w:r>
      <w:proofErr w:type="spellEnd"/>
      <w:r w:rsidR="00AD2BDB">
        <w:t xml:space="preserve"> </w:t>
      </w:r>
      <w:proofErr w:type="spellStart"/>
      <w:r w:rsidR="00AD2BDB">
        <w:t>average</w:t>
      </w:r>
      <w:proofErr w:type="spellEnd"/>
      <w:r w:rsidR="00AD2BDB">
        <w:t xml:space="preserve"> of </w:t>
      </w:r>
      <w:proofErr w:type="spellStart"/>
      <w:r w:rsidR="00AD2BDB">
        <w:t>matching</w:t>
      </w:r>
      <w:proofErr w:type="spellEnd"/>
      <w:r w:rsidR="00AD2BDB">
        <w:t xml:space="preserve"> expert </w:t>
      </w:r>
      <w:proofErr w:type="spellStart"/>
      <w:r w:rsidR="00AD2BDB">
        <w:t>assessment</w:t>
      </w:r>
      <w:proofErr w:type="spellEnd"/>
      <w:r w:rsidR="00AD2BDB">
        <w:t xml:space="preserve"> </w:t>
      </w:r>
      <w:proofErr w:type="spellStart"/>
      <w:r w:rsidR="00AD2BDB">
        <w:t>was</w:t>
      </w:r>
      <w:proofErr w:type="spellEnd"/>
      <w:r w:rsidR="00AD2BDB">
        <w:t xml:space="preserve"> 62% </w:t>
      </w:r>
      <w:proofErr w:type="spellStart"/>
      <w:r w:rsidR="00AD2BDB">
        <w:t>for</w:t>
      </w:r>
      <w:proofErr w:type="spellEnd"/>
      <w:r w:rsidR="00AD2BDB">
        <w:t xml:space="preserve"> RULA and 73% </w:t>
      </w:r>
      <w:proofErr w:type="spellStart"/>
      <w:r w:rsidR="00AD2BDB">
        <w:t>for</w:t>
      </w:r>
      <w:proofErr w:type="spellEnd"/>
      <w:r w:rsidR="00AD2BDB">
        <w:t xml:space="preserve"> AULA. </w:t>
      </w:r>
      <w:proofErr w:type="spellStart"/>
      <w:r w:rsidR="00AD2BDB">
        <w:t>Based</w:t>
      </w:r>
      <w:proofErr w:type="spellEnd"/>
      <w:r w:rsidR="00AD2BDB">
        <w:t xml:space="preserve"> on </w:t>
      </w:r>
      <w:r w:rsidR="0064154E">
        <w:t xml:space="preserve">hit rate </w:t>
      </w:r>
      <w:proofErr w:type="spellStart"/>
      <w:r w:rsidR="0064154E">
        <w:t>analysis</w:t>
      </w:r>
      <w:proofErr w:type="spellEnd"/>
      <w:r w:rsidR="0064154E">
        <w:t xml:space="preserve">, AULA </w:t>
      </w:r>
      <w:proofErr w:type="spellStart"/>
      <w:r w:rsidR="0064154E">
        <w:t>was</w:t>
      </w:r>
      <w:proofErr w:type="spellEnd"/>
      <w:r w:rsidR="0064154E">
        <w:t xml:space="preserve"> </w:t>
      </w:r>
      <w:proofErr w:type="spellStart"/>
      <w:r w:rsidR="0064154E">
        <w:t>better</w:t>
      </w:r>
      <w:proofErr w:type="spellEnd"/>
      <w:r w:rsidR="0064154E">
        <w:t xml:space="preserve"> </w:t>
      </w:r>
      <w:proofErr w:type="spellStart"/>
      <w:r w:rsidR="0064154E">
        <w:t>well-matched</w:t>
      </w:r>
      <w:proofErr w:type="spellEnd"/>
      <w:r w:rsidR="0064154E">
        <w:t xml:space="preserve"> </w:t>
      </w:r>
      <w:proofErr w:type="spellStart"/>
      <w:r w:rsidR="0064154E">
        <w:t>with</w:t>
      </w:r>
      <w:proofErr w:type="spellEnd"/>
      <w:r w:rsidR="0064154E">
        <w:t xml:space="preserve"> </w:t>
      </w:r>
      <w:proofErr w:type="spellStart"/>
      <w:r w:rsidR="0064154E">
        <w:t>the</w:t>
      </w:r>
      <w:proofErr w:type="spellEnd"/>
      <w:r w:rsidR="0064154E">
        <w:t xml:space="preserve"> expert </w:t>
      </w:r>
      <w:proofErr w:type="spellStart"/>
      <w:r w:rsidR="0064154E">
        <w:t>assessment</w:t>
      </w:r>
      <w:proofErr w:type="spellEnd"/>
      <w:r w:rsidR="0064154E">
        <w:t>.</w:t>
      </w:r>
      <w:r w:rsidR="00AD2BDB">
        <w:t xml:space="preserve"> </w:t>
      </w:r>
    </w:p>
    <w:p w14:paraId="67265158" w14:textId="77777777" w:rsidR="00097AA0" w:rsidRDefault="00097AA0">
      <w:pPr>
        <w:rPr>
          <w:b/>
        </w:rPr>
      </w:pPr>
    </w:p>
    <w:p w14:paraId="440B95C1" w14:textId="4FB9F21B" w:rsidR="00061C42" w:rsidRPr="00061C42" w:rsidRDefault="00264603" w:rsidP="00061C42">
      <w:pPr>
        <w:jc w:val="center"/>
        <w:rPr>
          <w:bCs/>
          <w:sz w:val="18"/>
          <w:szCs w:val="18"/>
        </w:rPr>
      </w:pPr>
      <w:r w:rsidRPr="00563025">
        <w:rPr>
          <w:b/>
          <w:sz w:val="18"/>
          <w:szCs w:val="18"/>
        </w:rPr>
        <w:t xml:space="preserve">Table </w:t>
      </w:r>
      <w:r w:rsidR="002E3707">
        <w:rPr>
          <w:b/>
          <w:sz w:val="18"/>
          <w:szCs w:val="18"/>
        </w:rPr>
        <w:t>2</w:t>
      </w:r>
      <w:r w:rsidRPr="00563025">
        <w:rPr>
          <w:b/>
          <w:sz w:val="18"/>
          <w:szCs w:val="18"/>
        </w:rPr>
        <w:t>.</w:t>
      </w:r>
      <w:r w:rsidR="002E3707">
        <w:rPr>
          <w:b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Risk level </w:t>
      </w:r>
      <w:proofErr w:type="spellStart"/>
      <w:r>
        <w:rPr>
          <w:bCs/>
          <w:sz w:val="18"/>
          <w:szCs w:val="18"/>
        </w:rPr>
        <w:t>distribution</w:t>
      </w:r>
      <w:proofErr w:type="spellEnd"/>
      <w:r>
        <w:rPr>
          <w:bCs/>
          <w:sz w:val="18"/>
          <w:szCs w:val="18"/>
        </w:rPr>
        <w:t xml:space="preserve"> of RULA and AULA </w:t>
      </w:r>
      <w:proofErr w:type="spellStart"/>
      <w:r>
        <w:rPr>
          <w:bCs/>
          <w:sz w:val="18"/>
          <w:szCs w:val="18"/>
        </w:rPr>
        <w:t>compared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with</w:t>
      </w:r>
      <w:proofErr w:type="spellEnd"/>
      <w:r>
        <w:rPr>
          <w:bCs/>
          <w:sz w:val="18"/>
          <w:szCs w:val="18"/>
        </w:rPr>
        <w:t xml:space="preserve"> expert </w:t>
      </w:r>
      <w:proofErr w:type="spellStart"/>
      <w:r>
        <w:rPr>
          <w:bCs/>
          <w:sz w:val="18"/>
          <w:szCs w:val="18"/>
        </w:rPr>
        <w:t>assessment</w:t>
      </w:r>
      <w:proofErr w:type="spellEnd"/>
      <w:r w:rsidR="00831027">
        <w:rPr>
          <w:bCs/>
          <w:sz w:val="18"/>
          <w:szCs w:val="18"/>
        </w:rPr>
        <w:t>.</w:t>
      </w:r>
    </w:p>
    <w:p w14:paraId="0B7CDF77" w14:textId="77777777" w:rsidR="00061C42" w:rsidRDefault="00061C42">
      <w:pPr>
        <w:rPr>
          <w:b/>
        </w:rPr>
      </w:pPr>
    </w:p>
    <w:tbl>
      <w:tblPr>
        <w:tblW w:w="5981" w:type="dxa"/>
        <w:jc w:val="center"/>
        <w:tblLook w:val="04A0" w:firstRow="1" w:lastRow="0" w:firstColumn="1" w:lastColumn="0" w:noHBand="0" w:noVBand="1"/>
      </w:tblPr>
      <w:tblGrid>
        <w:gridCol w:w="520"/>
        <w:gridCol w:w="500"/>
        <w:gridCol w:w="497"/>
        <w:gridCol w:w="497"/>
        <w:gridCol w:w="869"/>
        <w:gridCol w:w="497"/>
        <w:gridCol w:w="261"/>
        <w:gridCol w:w="514"/>
        <w:gridCol w:w="514"/>
        <w:gridCol w:w="899"/>
        <w:gridCol w:w="514"/>
      </w:tblGrid>
      <w:tr w:rsidR="007E5ED3" w14:paraId="1F54C6A1" w14:textId="77777777" w:rsidTr="002D1133">
        <w:trPr>
          <w:trHeight w:val="315"/>
          <w:jc w:val="center"/>
        </w:trPr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57D3F" w14:textId="77777777" w:rsidR="00061C42" w:rsidRPr="00061C42" w:rsidRDefault="00264603" w:rsidP="00061C42">
            <w:pPr>
              <w:rPr>
                <w:color w:val="000000"/>
                <w:sz w:val="18"/>
                <w:szCs w:val="18"/>
                <w:lang w:val="en-US"/>
              </w:rPr>
            </w:pPr>
            <w:r w:rsidRPr="00061C42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2A964" w14:textId="77777777" w:rsidR="00061C42" w:rsidRPr="00061C42" w:rsidRDefault="00264603" w:rsidP="00061C4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61C42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90A17" w14:textId="77777777" w:rsidR="00061C42" w:rsidRPr="00061C42" w:rsidRDefault="00264603" w:rsidP="00061C4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61C42">
              <w:rPr>
                <w:color w:val="000000"/>
                <w:sz w:val="18"/>
                <w:szCs w:val="18"/>
                <w:lang w:val="en-US"/>
              </w:rPr>
              <w:t>RULA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4E700" w14:textId="77777777" w:rsidR="00061C42" w:rsidRPr="00061C42" w:rsidRDefault="00264603" w:rsidP="00061C4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61C42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ED240" w14:textId="77777777" w:rsidR="00061C42" w:rsidRPr="00061C42" w:rsidRDefault="00264603" w:rsidP="00061C4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61C42">
              <w:rPr>
                <w:color w:val="000000"/>
                <w:sz w:val="18"/>
                <w:szCs w:val="18"/>
                <w:lang w:val="en-US"/>
              </w:rPr>
              <w:t xml:space="preserve">AULA </w:t>
            </w:r>
          </w:p>
        </w:tc>
      </w:tr>
      <w:tr w:rsidR="007E5ED3" w14:paraId="0BB8E1AC" w14:textId="77777777" w:rsidTr="002D1133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4DF1D" w14:textId="77777777" w:rsidR="00061C42" w:rsidRPr="00061C42" w:rsidRDefault="00264603" w:rsidP="00061C42">
            <w:pPr>
              <w:rPr>
                <w:color w:val="000000"/>
                <w:sz w:val="18"/>
                <w:szCs w:val="18"/>
                <w:lang w:val="en-US"/>
              </w:rPr>
            </w:pPr>
            <w:r w:rsidRPr="00061C42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02018" w14:textId="77777777" w:rsidR="00061C42" w:rsidRPr="00061C42" w:rsidRDefault="00264603" w:rsidP="00061C4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61C42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C1A46" w14:textId="77777777" w:rsidR="00061C42" w:rsidRPr="00061C42" w:rsidRDefault="00264603" w:rsidP="00061C4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61C42"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8DC4D" w14:textId="77777777" w:rsidR="00061C42" w:rsidRPr="00061C42" w:rsidRDefault="00264603" w:rsidP="00061C4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61C42">
              <w:rPr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84CE4" w14:textId="77777777" w:rsidR="00061C42" w:rsidRPr="00061C42" w:rsidRDefault="00264603" w:rsidP="00061C4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61C42">
              <w:rPr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A9548" w14:textId="77777777" w:rsidR="00061C42" w:rsidRPr="00061C42" w:rsidRDefault="00264603" w:rsidP="00061C4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61C42"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DA573" w14:textId="77777777" w:rsidR="00061C42" w:rsidRPr="00061C42" w:rsidRDefault="00264603" w:rsidP="00061C4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61C42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112C2" w14:textId="77777777" w:rsidR="00061C42" w:rsidRPr="00061C42" w:rsidRDefault="00264603" w:rsidP="00061C4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61C42"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95832" w14:textId="77777777" w:rsidR="00061C42" w:rsidRPr="00061C42" w:rsidRDefault="00264603" w:rsidP="00061C4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61C42">
              <w:rPr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94716" w14:textId="77777777" w:rsidR="00061C42" w:rsidRPr="00061C42" w:rsidRDefault="00264603" w:rsidP="00061C4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61C42">
              <w:rPr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8F76E" w14:textId="77777777" w:rsidR="00061C42" w:rsidRPr="00061C42" w:rsidRDefault="00264603" w:rsidP="00061C4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61C42"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7E5ED3" w14:paraId="258BAE2F" w14:textId="77777777" w:rsidTr="002D1133">
        <w:trPr>
          <w:trHeight w:val="300"/>
          <w:jc w:val="center"/>
        </w:trPr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4EB64B7D" w14:textId="77777777" w:rsidR="00061C42" w:rsidRPr="00061C42" w:rsidRDefault="00264603" w:rsidP="00061C4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61C42">
              <w:rPr>
                <w:color w:val="000000"/>
                <w:sz w:val="18"/>
                <w:szCs w:val="18"/>
                <w:lang w:val="en-US"/>
              </w:rPr>
              <w:t>EXPERT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E99B" w14:textId="77777777" w:rsidR="00061C42" w:rsidRPr="00061C42" w:rsidRDefault="00264603" w:rsidP="00061C4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61C42"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A811" w14:textId="77777777" w:rsidR="00061C42" w:rsidRPr="00061C42" w:rsidRDefault="00061C42" w:rsidP="00061C4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55F7" w14:textId="77777777" w:rsidR="00061C42" w:rsidRPr="00061C42" w:rsidRDefault="00061C42" w:rsidP="00061C42">
            <w:pPr>
              <w:jc w:val="center"/>
              <w:rPr>
                <w:lang w:val="en-US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AAAA4" w14:textId="77777777" w:rsidR="00061C42" w:rsidRPr="00061C42" w:rsidRDefault="00061C42" w:rsidP="00061C42">
            <w:pPr>
              <w:jc w:val="center"/>
              <w:rPr>
                <w:lang w:val="en-US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297A" w14:textId="77777777" w:rsidR="00061C42" w:rsidRPr="00061C42" w:rsidRDefault="00061C42" w:rsidP="00061C42">
            <w:pPr>
              <w:jc w:val="center"/>
              <w:rPr>
                <w:lang w:val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1FD0" w14:textId="77777777" w:rsidR="00061C42" w:rsidRPr="00061C42" w:rsidRDefault="00061C42" w:rsidP="00061C42">
            <w:pPr>
              <w:jc w:val="center"/>
              <w:rPr>
                <w:lang w:val="en-US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E3704" w14:textId="77777777" w:rsidR="00061C42" w:rsidRPr="00061C42" w:rsidRDefault="00061C42" w:rsidP="00061C42">
            <w:pPr>
              <w:jc w:val="center"/>
              <w:rPr>
                <w:lang w:val="en-US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8719" w14:textId="77777777" w:rsidR="00061C42" w:rsidRPr="00061C42" w:rsidRDefault="00061C42" w:rsidP="00061C42">
            <w:pPr>
              <w:jc w:val="center"/>
              <w:rPr>
                <w:lang w:val="en-US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87A1C" w14:textId="77777777" w:rsidR="00061C42" w:rsidRPr="00061C42" w:rsidRDefault="00061C42" w:rsidP="00061C42">
            <w:pPr>
              <w:jc w:val="center"/>
              <w:rPr>
                <w:lang w:val="en-US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6E92" w14:textId="77777777" w:rsidR="00061C42" w:rsidRPr="00061C42" w:rsidRDefault="00061C42" w:rsidP="00061C42">
            <w:pPr>
              <w:jc w:val="center"/>
              <w:rPr>
                <w:lang w:val="en-US"/>
              </w:rPr>
            </w:pPr>
          </w:p>
        </w:tc>
      </w:tr>
      <w:tr w:rsidR="007E5ED3" w14:paraId="1ADD82B7" w14:textId="77777777" w:rsidTr="002D1133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A5FE10" w14:textId="77777777" w:rsidR="00061C42" w:rsidRPr="00061C42" w:rsidRDefault="00061C42" w:rsidP="00061C42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A678" w14:textId="77777777" w:rsidR="00061C42" w:rsidRPr="00061C42" w:rsidRDefault="00264603" w:rsidP="00061C4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61C42">
              <w:rPr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F30C6" w14:textId="77777777" w:rsidR="00061C42" w:rsidRPr="00061C42" w:rsidRDefault="00061C42" w:rsidP="00061C4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D3FA" w14:textId="77777777" w:rsidR="00061C42" w:rsidRPr="00061C42" w:rsidRDefault="00264603" w:rsidP="00061C42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61C42">
              <w:rPr>
                <w:b/>
                <w:bCs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F290" w14:textId="77777777" w:rsidR="00061C42" w:rsidRPr="00061C42" w:rsidRDefault="00264603" w:rsidP="00061C4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61C42">
              <w:rPr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468DC" w14:textId="77777777" w:rsidR="00061C42" w:rsidRPr="00061C42" w:rsidRDefault="00061C42" w:rsidP="00061C4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A4FF" w14:textId="77777777" w:rsidR="00061C42" w:rsidRPr="00061C42" w:rsidRDefault="00061C42" w:rsidP="00061C42">
            <w:pPr>
              <w:jc w:val="center"/>
              <w:rPr>
                <w:lang w:val="en-US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CC1E" w14:textId="77777777" w:rsidR="00061C42" w:rsidRPr="00061C42" w:rsidRDefault="00264603" w:rsidP="00061C4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61C42"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4994" w14:textId="77777777" w:rsidR="00061C42" w:rsidRPr="00061C42" w:rsidRDefault="00264603" w:rsidP="00061C42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61C42">
              <w:rPr>
                <w:b/>
                <w:bCs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392D4" w14:textId="77777777" w:rsidR="00061C42" w:rsidRPr="00061C42" w:rsidRDefault="00061C42" w:rsidP="00061C4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88B6" w14:textId="77777777" w:rsidR="00061C42" w:rsidRPr="00061C42" w:rsidRDefault="00061C42" w:rsidP="00061C42">
            <w:pPr>
              <w:jc w:val="center"/>
              <w:rPr>
                <w:lang w:val="en-US"/>
              </w:rPr>
            </w:pPr>
          </w:p>
        </w:tc>
      </w:tr>
      <w:tr w:rsidR="007E5ED3" w14:paraId="1C8B009F" w14:textId="77777777" w:rsidTr="002D1133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EC6B1D" w14:textId="77777777" w:rsidR="00061C42" w:rsidRPr="00061C42" w:rsidRDefault="00061C42" w:rsidP="00061C42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2010" w14:textId="77777777" w:rsidR="00061C42" w:rsidRPr="00061C42" w:rsidRDefault="00264603" w:rsidP="00061C4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61C42">
              <w:rPr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8C833" w14:textId="77777777" w:rsidR="00061C42" w:rsidRPr="00061C42" w:rsidRDefault="00061C42" w:rsidP="00061C4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23D2" w14:textId="77777777" w:rsidR="00061C42" w:rsidRPr="00061C42" w:rsidRDefault="00264603" w:rsidP="00061C4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61C42">
              <w:rPr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FA38" w14:textId="77777777" w:rsidR="00061C42" w:rsidRPr="00061C42" w:rsidRDefault="00264603" w:rsidP="00061C42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61C42">
              <w:rPr>
                <w:b/>
                <w:bCs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0265" w14:textId="77777777" w:rsidR="00061C42" w:rsidRPr="00061C42" w:rsidRDefault="00264603" w:rsidP="00061C4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61C42">
              <w:rPr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C48A" w14:textId="77777777" w:rsidR="00061C42" w:rsidRPr="00061C42" w:rsidRDefault="00061C42" w:rsidP="00061C4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D8E5" w14:textId="77777777" w:rsidR="00061C42" w:rsidRPr="00061C42" w:rsidRDefault="00061C42" w:rsidP="00061C42">
            <w:pPr>
              <w:jc w:val="center"/>
              <w:rPr>
                <w:lang w:val="en-US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9F49" w14:textId="77777777" w:rsidR="00061C42" w:rsidRPr="00061C42" w:rsidRDefault="00264603" w:rsidP="00061C4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61C42">
              <w:rPr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820C" w14:textId="77777777" w:rsidR="00061C42" w:rsidRPr="00061C42" w:rsidRDefault="00264603" w:rsidP="00061C42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061C42">
              <w:rPr>
                <w:b/>
                <w:bCs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4C7A0" w14:textId="77777777" w:rsidR="00061C42" w:rsidRPr="00061C42" w:rsidRDefault="00264603" w:rsidP="00061C4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61C42"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7E5ED3" w14:paraId="78491F35" w14:textId="77777777" w:rsidTr="002D1133">
        <w:trPr>
          <w:trHeight w:val="315"/>
          <w:jc w:val="center"/>
        </w:trPr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38FC8" w14:textId="77777777" w:rsidR="00061C42" w:rsidRPr="00061C42" w:rsidRDefault="00264603" w:rsidP="00061C42">
            <w:pPr>
              <w:rPr>
                <w:color w:val="000000"/>
                <w:sz w:val="18"/>
                <w:szCs w:val="18"/>
                <w:lang w:val="en-US"/>
              </w:rPr>
            </w:pPr>
            <w:r w:rsidRPr="00061C42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FB216" w14:textId="77777777" w:rsidR="00061C42" w:rsidRPr="00061C42" w:rsidRDefault="00264603" w:rsidP="00061C4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61C42"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FEC4D" w14:textId="77777777" w:rsidR="00061C42" w:rsidRPr="00061C42" w:rsidRDefault="00264603" w:rsidP="00061C4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61C42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93EFB" w14:textId="77777777" w:rsidR="00061C42" w:rsidRPr="00061C42" w:rsidRDefault="00264603" w:rsidP="00061C4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61C42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20A83" w14:textId="77777777" w:rsidR="00061C42" w:rsidRPr="00061C42" w:rsidRDefault="00264603" w:rsidP="00061C4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61C42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A09A6" w14:textId="77777777" w:rsidR="00061C42" w:rsidRPr="00061C42" w:rsidRDefault="00264603" w:rsidP="00061C4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61C42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0F8C6" w14:textId="77777777" w:rsidR="00061C42" w:rsidRPr="00061C42" w:rsidRDefault="00264603" w:rsidP="00061C4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61C42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4AB1B" w14:textId="77777777" w:rsidR="00061C42" w:rsidRPr="00061C42" w:rsidRDefault="00264603" w:rsidP="00061C4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61C42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50938" w14:textId="77777777" w:rsidR="00061C42" w:rsidRPr="00061C42" w:rsidRDefault="00264603" w:rsidP="00061C4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61C42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F7E16" w14:textId="77777777" w:rsidR="00061C42" w:rsidRPr="00061C42" w:rsidRDefault="00264603" w:rsidP="00061C4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61C42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4FC8A" w14:textId="77777777" w:rsidR="00061C42" w:rsidRPr="00061C42" w:rsidRDefault="00264603" w:rsidP="00061C4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61C42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</w:tbl>
    <w:p w14:paraId="582725E1" w14:textId="77777777" w:rsidR="00C1046C" w:rsidRDefault="0064154E">
      <w:pPr>
        <w:rPr>
          <w:b/>
        </w:rPr>
      </w:pPr>
      <w:r>
        <w:rPr>
          <w:b/>
        </w:rPr>
        <w:lastRenderedPageBreak/>
        <w:t xml:space="preserve">3.2. </w:t>
      </w:r>
      <w:proofErr w:type="spellStart"/>
      <w:r>
        <w:rPr>
          <w:b/>
        </w:rPr>
        <w:t>Quadratic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Weighted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Kappa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Analysis</w:t>
      </w:r>
      <w:proofErr w:type="spellEnd"/>
    </w:p>
    <w:p w14:paraId="70E4FD54" w14:textId="77777777" w:rsidR="007F75BB" w:rsidRDefault="007F75BB"/>
    <w:p w14:paraId="1BD7827E" w14:textId="77777777" w:rsidR="00F77A7C" w:rsidRDefault="00264603" w:rsidP="00F77A7C">
      <w:pPr>
        <w:pStyle w:val="Paragraph"/>
      </w:pPr>
      <w:r>
        <w:t xml:space="preserve">Table </w:t>
      </w:r>
      <w:r w:rsidR="002E3707">
        <w:t>3</w:t>
      </w:r>
      <w:r>
        <w:t xml:space="preserve"> shows the level of agreement between expert assessment and the existing ergonomic tools for upper limb (i.e., RULA and AULA) using Quadratic weighted kappa analysis.</w:t>
      </w:r>
      <w:r w:rsidRPr="005E310E">
        <w:t xml:space="preserve"> </w:t>
      </w:r>
      <w:r>
        <w:t>Kappa's value of experts' evaluation and AULA e</w:t>
      </w:r>
      <w:r>
        <w:t>valuation was 0.483, with moderate consistency. The kappa value between the experts' results and the RULA results showed an acceptable level of agreement of 0.261.</w:t>
      </w:r>
      <w:r w:rsidRPr="00F77A7C">
        <w:t xml:space="preserve"> </w:t>
      </w:r>
      <w:r>
        <w:t>Thus, based on weight quadratic Kappa analysis, AULA agreed more with expert assessment than</w:t>
      </w:r>
      <w:r>
        <w:t xml:space="preserve"> the RULA methods. </w:t>
      </w:r>
    </w:p>
    <w:p w14:paraId="35B5E2BB" w14:textId="77777777" w:rsidR="005E310E" w:rsidRPr="00075EA6" w:rsidRDefault="005E310E" w:rsidP="005E310E">
      <w:pPr>
        <w:pStyle w:val="Paragraph"/>
      </w:pPr>
    </w:p>
    <w:p w14:paraId="1DC7FA4D" w14:textId="77777777" w:rsidR="007F75BB" w:rsidRDefault="007F75BB"/>
    <w:p w14:paraId="1BDA11B3" w14:textId="4787EAED" w:rsidR="007F75BB" w:rsidRPr="005E310E" w:rsidRDefault="00264603" w:rsidP="005E310E">
      <w:pPr>
        <w:jc w:val="center"/>
        <w:rPr>
          <w:sz w:val="18"/>
          <w:szCs w:val="18"/>
        </w:rPr>
      </w:pPr>
      <w:bookmarkStart w:id="1" w:name="_Hlk105329644"/>
      <w:r w:rsidRPr="00563025">
        <w:rPr>
          <w:b/>
          <w:bCs/>
          <w:sz w:val="18"/>
          <w:szCs w:val="18"/>
        </w:rPr>
        <w:t xml:space="preserve">Table </w:t>
      </w:r>
      <w:r w:rsidR="002E3707">
        <w:rPr>
          <w:b/>
          <w:bCs/>
          <w:sz w:val="18"/>
          <w:szCs w:val="18"/>
        </w:rPr>
        <w:t>3</w:t>
      </w:r>
      <w:r w:rsidRPr="00563025">
        <w:rPr>
          <w:b/>
          <w:bCs/>
          <w:sz w:val="18"/>
          <w:szCs w:val="18"/>
        </w:rPr>
        <w:t>.</w:t>
      </w:r>
      <w:r w:rsidRPr="005E310E">
        <w:rPr>
          <w:sz w:val="18"/>
          <w:szCs w:val="18"/>
        </w:rPr>
        <w:t xml:space="preserve"> </w:t>
      </w:r>
      <w:proofErr w:type="spellStart"/>
      <w:r w:rsidRPr="005E310E">
        <w:rPr>
          <w:sz w:val="18"/>
          <w:szCs w:val="18"/>
        </w:rPr>
        <w:t>Qu</w:t>
      </w:r>
      <w:r w:rsidR="005E310E" w:rsidRPr="005E310E">
        <w:rPr>
          <w:sz w:val="18"/>
          <w:szCs w:val="18"/>
        </w:rPr>
        <w:t>a</w:t>
      </w:r>
      <w:r w:rsidRPr="005E310E">
        <w:rPr>
          <w:sz w:val="18"/>
          <w:szCs w:val="18"/>
        </w:rPr>
        <w:t>dratic</w:t>
      </w:r>
      <w:proofErr w:type="spellEnd"/>
      <w:r w:rsidRPr="005E310E">
        <w:rPr>
          <w:sz w:val="18"/>
          <w:szCs w:val="18"/>
        </w:rPr>
        <w:t xml:space="preserve"> </w:t>
      </w:r>
      <w:proofErr w:type="spellStart"/>
      <w:r w:rsidRPr="005E310E">
        <w:rPr>
          <w:sz w:val="18"/>
          <w:szCs w:val="18"/>
        </w:rPr>
        <w:t>Kappa</w:t>
      </w:r>
      <w:proofErr w:type="spellEnd"/>
      <w:r w:rsidRPr="005E310E">
        <w:rPr>
          <w:sz w:val="18"/>
          <w:szCs w:val="18"/>
        </w:rPr>
        <w:t xml:space="preserve"> </w:t>
      </w:r>
      <w:proofErr w:type="spellStart"/>
      <w:r w:rsidRPr="005E310E">
        <w:rPr>
          <w:sz w:val="18"/>
          <w:szCs w:val="18"/>
        </w:rPr>
        <w:t>Analysis</w:t>
      </w:r>
      <w:proofErr w:type="spellEnd"/>
      <w:r w:rsidRPr="005E310E">
        <w:rPr>
          <w:sz w:val="18"/>
          <w:szCs w:val="18"/>
        </w:rPr>
        <w:t xml:space="preserve"> </w:t>
      </w:r>
      <w:r w:rsidR="005E310E" w:rsidRPr="005E310E">
        <w:rPr>
          <w:sz w:val="18"/>
          <w:szCs w:val="18"/>
        </w:rPr>
        <w:t>of AULA a</w:t>
      </w:r>
      <w:r w:rsidR="005E310E">
        <w:rPr>
          <w:sz w:val="18"/>
          <w:szCs w:val="18"/>
        </w:rPr>
        <w:t>n</w:t>
      </w:r>
      <w:r w:rsidR="005E310E" w:rsidRPr="005E310E">
        <w:rPr>
          <w:sz w:val="18"/>
          <w:szCs w:val="18"/>
        </w:rPr>
        <w:t>d REBA</w:t>
      </w:r>
      <w:r w:rsidR="00BF4BBD">
        <w:rPr>
          <w:sz w:val="18"/>
          <w:szCs w:val="18"/>
        </w:rPr>
        <w:t>.</w:t>
      </w:r>
    </w:p>
    <w:tbl>
      <w:tblPr>
        <w:tblW w:w="7874" w:type="dxa"/>
        <w:jc w:val="center"/>
        <w:tblLook w:val="04A0" w:firstRow="1" w:lastRow="0" w:firstColumn="1" w:lastColumn="0" w:noHBand="0" w:noVBand="1"/>
      </w:tblPr>
      <w:tblGrid>
        <w:gridCol w:w="1733"/>
        <w:gridCol w:w="2559"/>
        <w:gridCol w:w="1396"/>
        <w:gridCol w:w="2186"/>
      </w:tblGrid>
      <w:tr w:rsidR="007E5ED3" w14:paraId="78BA8DA9" w14:textId="77777777" w:rsidTr="007F75BB">
        <w:trPr>
          <w:trHeight w:val="371"/>
          <w:jc w:val="center"/>
        </w:trPr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bookmarkEnd w:id="1"/>
          <w:p w14:paraId="17E5BC92" w14:textId="77777777" w:rsidR="007F75BB" w:rsidRPr="005E310E" w:rsidRDefault="00264603" w:rsidP="00FA0E6D">
            <w:pPr>
              <w:jc w:val="center"/>
              <w:rPr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5E310E">
              <w:rPr>
                <w:b/>
                <w:bCs/>
                <w:color w:val="000000"/>
                <w:sz w:val="18"/>
                <w:szCs w:val="18"/>
                <w:lang w:val="en-ID" w:eastAsia="en-ID"/>
              </w:rPr>
              <w:t>Assessment Tool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7FFDE3" w14:textId="77777777" w:rsidR="007F75BB" w:rsidRPr="005E310E" w:rsidRDefault="00264603" w:rsidP="00FA0E6D">
            <w:pPr>
              <w:jc w:val="center"/>
              <w:rPr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5E310E">
              <w:rPr>
                <w:b/>
                <w:bCs/>
                <w:color w:val="000000"/>
                <w:sz w:val="18"/>
                <w:szCs w:val="18"/>
                <w:lang w:val="en-ID" w:eastAsia="en-ID"/>
              </w:rPr>
              <w:t>Percent of Agreement (%)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3BC6EE" w14:textId="77777777" w:rsidR="007F75BB" w:rsidRPr="005E310E" w:rsidRDefault="00264603" w:rsidP="00FA0E6D">
            <w:pPr>
              <w:jc w:val="center"/>
              <w:rPr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5E310E">
              <w:rPr>
                <w:b/>
                <w:bCs/>
                <w:color w:val="000000"/>
                <w:sz w:val="18"/>
                <w:szCs w:val="18"/>
                <w:lang w:val="en-ID" w:eastAsia="en-ID"/>
              </w:rPr>
              <w:t>Kappa Value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4B6DA7" w14:textId="77777777" w:rsidR="007F75BB" w:rsidRPr="005E310E" w:rsidRDefault="00264603" w:rsidP="00FA0E6D">
            <w:pPr>
              <w:jc w:val="center"/>
              <w:rPr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5E310E">
              <w:rPr>
                <w:b/>
                <w:bCs/>
                <w:color w:val="000000"/>
                <w:sz w:val="18"/>
                <w:szCs w:val="18"/>
                <w:lang w:val="en-ID" w:eastAsia="en-ID"/>
              </w:rPr>
              <w:t>Strength of Agreement</w:t>
            </w:r>
          </w:p>
        </w:tc>
      </w:tr>
      <w:tr w:rsidR="007E5ED3" w14:paraId="42568864" w14:textId="77777777" w:rsidTr="007F75BB">
        <w:trPr>
          <w:trHeight w:val="70"/>
          <w:jc w:val="center"/>
        </w:trPr>
        <w:tc>
          <w:tcPr>
            <w:tcW w:w="173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7F1D" w14:textId="77777777" w:rsidR="007F75BB" w:rsidRPr="005E310E" w:rsidRDefault="00264603" w:rsidP="00FA0E6D">
            <w:pPr>
              <w:jc w:val="center"/>
              <w:rPr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5E310E">
              <w:rPr>
                <w:b/>
                <w:bCs/>
                <w:color w:val="000000"/>
                <w:sz w:val="18"/>
                <w:szCs w:val="18"/>
                <w:lang w:val="en-ID" w:eastAsia="en-ID"/>
              </w:rPr>
              <w:t>AULA</w:t>
            </w:r>
          </w:p>
        </w:tc>
        <w:tc>
          <w:tcPr>
            <w:tcW w:w="2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329B" w14:textId="77777777" w:rsidR="007F75BB" w:rsidRPr="005E310E" w:rsidRDefault="00264603" w:rsidP="00FA0E6D">
            <w:pPr>
              <w:jc w:val="center"/>
              <w:rPr>
                <w:color w:val="000000"/>
                <w:sz w:val="18"/>
                <w:szCs w:val="18"/>
                <w:lang w:val="en-ID" w:eastAsia="en-ID"/>
              </w:rPr>
            </w:pPr>
            <w:r w:rsidRPr="005E310E">
              <w:rPr>
                <w:color w:val="000000"/>
                <w:sz w:val="18"/>
                <w:szCs w:val="18"/>
                <w:lang w:val="en-ID" w:eastAsia="en-ID"/>
              </w:rPr>
              <w:t>48.3%</w:t>
            </w:r>
          </w:p>
        </w:tc>
        <w:tc>
          <w:tcPr>
            <w:tcW w:w="13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518F" w14:textId="77777777" w:rsidR="007F75BB" w:rsidRPr="005E310E" w:rsidRDefault="00264603" w:rsidP="00FA0E6D">
            <w:pPr>
              <w:jc w:val="center"/>
              <w:rPr>
                <w:color w:val="000000"/>
                <w:sz w:val="18"/>
                <w:szCs w:val="18"/>
                <w:lang w:val="en-ID" w:eastAsia="en-ID"/>
              </w:rPr>
            </w:pPr>
            <w:r w:rsidRPr="005E310E">
              <w:rPr>
                <w:color w:val="000000"/>
                <w:sz w:val="18"/>
                <w:szCs w:val="18"/>
                <w:lang w:val="en-ID" w:eastAsia="en-ID"/>
              </w:rPr>
              <w:t>0.483</w:t>
            </w:r>
          </w:p>
        </w:tc>
        <w:tc>
          <w:tcPr>
            <w:tcW w:w="21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87FB" w14:textId="77777777" w:rsidR="007F75BB" w:rsidRPr="005E310E" w:rsidRDefault="00264603" w:rsidP="00FA0E6D">
            <w:pPr>
              <w:jc w:val="center"/>
              <w:rPr>
                <w:color w:val="000000"/>
                <w:sz w:val="18"/>
                <w:szCs w:val="18"/>
                <w:lang w:val="en-ID" w:eastAsia="en-ID"/>
              </w:rPr>
            </w:pPr>
            <w:r w:rsidRPr="005E310E">
              <w:rPr>
                <w:color w:val="000000"/>
                <w:sz w:val="18"/>
                <w:szCs w:val="18"/>
                <w:lang w:val="en-ID" w:eastAsia="en-ID"/>
              </w:rPr>
              <w:t>Moderate</w:t>
            </w:r>
          </w:p>
        </w:tc>
      </w:tr>
      <w:tr w:rsidR="007E5ED3" w14:paraId="3EF6F39B" w14:textId="77777777" w:rsidTr="007F75BB">
        <w:trPr>
          <w:trHeight w:val="80"/>
          <w:jc w:val="center"/>
        </w:trPr>
        <w:tc>
          <w:tcPr>
            <w:tcW w:w="173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46DD" w14:textId="77777777" w:rsidR="007F75BB" w:rsidRPr="005E310E" w:rsidRDefault="00264603" w:rsidP="00FA0E6D">
            <w:pPr>
              <w:jc w:val="center"/>
              <w:rPr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5E310E">
              <w:rPr>
                <w:b/>
                <w:bCs/>
                <w:color w:val="000000"/>
                <w:sz w:val="18"/>
                <w:szCs w:val="18"/>
                <w:lang w:val="en-ID" w:eastAsia="en-ID"/>
              </w:rPr>
              <w:t>RULA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3A4B" w14:textId="77777777" w:rsidR="007F75BB" w:rsidRPr="005E310E" w:rsidRDefault="00264603" w:rsidP="00FA0E6D">
            <w:pPr>
              <w:jc w:val="center"/>
              <w:rPr>
                <w:color w:val="000000"/>
                <w:sz w:val="18"/>
                <w:szCs w:val="18"/>
                <w:lang w:val="en-ID" w:eastAsia="en-ID"/>
              </w:rPr>
            </w:pPr>
            <w:r w:rsidRPr="005E310E">
              <w:rPr>
                <w:color w:val="000000"/>
                <w:sz w:val="18"/>
                <w:szCs w:val="18"/>
                <w:lang w:val="en-ID" w:eastAsia="en-ID"/>
              </w:rPr>
              <w:t>26.1%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16F4" w14:textId="77777777" w:rsidR="007F75BB" w:rsidRPr="005E310E" w:rsidRDefault="00264603" w:rsidP="00FA0E6D">
            <w:pPr>
              <w:jc w:val="center"/>
              <w:rPr>
                <w:color w:val="000000"/>
                <w:sz w:val="18"/>
                <w:szCs w:val="18"/>
                <w:lang w:val="en-ID" w:eastAsia="en-ID"/>
              </w:rPr>
            </w:pPr>
            <w:r w:rsidRPr="005E310E">
              <w:rPr>
                <w:color w:val="000000"/>
                <w:sz w:val="18"/>
                <w:szCs w:val="18"/>
                <w:lang w:val="en-ID" w:eastAsia="en-ID"/>
              </w:rPr>
              <w:t>0.261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C61F7" w14:textId="77777777" w:rsidR="007F75BB" w:rsidRPr="005E310E" w:rsidRDefault="00264603" w:rsidP="00FA0E6D">
            <w:pPr>
              <w:jc w:val="center"/>
              <w:rPr>
                <w:color w:val="000000"/>
                <w:sz w:val="18"/>
                <w:szCs w:val="18"/>
                <w:lang w:val="en-ID" w:eastAsia="en-ID"/>
              </w:rPr>
            </w:pPr>
            <w:r>
              <w:rPr>
                <w:color w:val="000000"/>
                <w:sz w:val="18"/>
                <w:szCs w:val="18"/>
                <w:lang w:val="en-ID" w:eastAsia="en-ID"/>
              </w:rPr>
              <w:t>Fair</w:t>
            </w:r>
          </w:p>
        </w:tc>
      </w:tr>
    </w:tbl>
    <w:p w14:paraId="22EC67F6" w14:textId="77777777" w:rsidR="001B1026" w:rsidRDefault="001B1026"/>
    <w:p w14:paraId="625D1C5C" w14:textId="77777777" w:rsidR="001B1026" w:rsidRDefault="001B1026"/>
    <w:p w14:paraId="2915E704" w14:textId="77777777" w:rsidR="001B1026" w:rsidRDefault="00264603" w:rsidP="001B1026">
      <w:pPr>
        <w:rPr>
          <w:b/>
          <w:bCs/>
        </w:rPr>
      </w:pPr>
      <w:r w:rsidRPr="001B1026">
        <w:rPr>
          <w:b/>
          <w:bCs/>
        </w:rPr>
        <w:t xml:space="preserve">3.3. </w:t>
      </w:r>
      <w:r w:rsidR="00563025">
        <w:rPr>
          <w:b/>
          <w:bCs/>
        </w:rPr>
        <w:t>T-Test</w:t>
      </w:r>
      <w:r w:rsidRPr="001B1026">
        <w:rPr>
          <w:b/>
          <w:bCs/>
        </w:rPr>
        <w:t xml:space="preserve"> </w:t>
      </w:r>
      <w:proofErr w:type="spellStart"/>
      <w:r w:rsidRPr="001B1026">
        <w:rPr>
          <w:b/>
          <w:bCs/>
        </w:rPr>
        <w:t>Analysis</w:t>
      </w:r>
      <w:proofErr w:type="spellEnd"/>
    </w:p>
    <w:p w14:paraId="484C4604" w14:textId="77777777" w:rsidR="001B1026" w:rsidRDefault="001B1026" w:rsidP="001B1026">
      <w:pPr>
        <w:rPr>
          <w:b/>
          <w:bCs/>
        </w:rPr>
      </w:pPr>
    </w:p>
    <w:p w14:paraId="3126DED2" w14:textId="77777777" w:rsidR="00563025" w:rsidRDefault="00264603" w:rsidP="00563025">
      <w:pPr>
        <w:ind w:firstLine="270"/>
        <w:jc w:val="both"/>
      </w:pPr>
      <w:proofErr w:type="spellStart"/>
      <w:r w:rsidRPr="001B1026">
        <w:t>The</w:t>
      </w:r>
      <w:proofErr w:type="spellEnd"/>
      <w:r w:rsidRPr="001B1026">
        <w:t xml:space="preserve"> </w:t>
      </w:r>
      <w:r>
        <w:t xml:space="preserve">t-test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</w:t>
      </w:r>
      <w:proofErr w:type="spellStart"/>
      <w:r>
        <w:t>showed</w:t>
      </w:r>
      <w:proofErr w:type="spellEnd"/>
      <w:r>
        <w:t xml:space="preserve"> </w:t>
      </w:r>
      <w:proofErr w:type="spellStart"/>
      <w:r w:rsidR="00CC4386">
        <w:t>that</w:t>
      </w:r>
      <w:proofErr w:type="spellEnd"/>
      <w:r w:rsidR="00CC4386">
        <w:t xml:space="preserve"> </w:t>
      </w:r>
      <w:proofErr w:type="spellStart"/>
      <w:r w:rsidR="00CC4386">
        <w:t>the</w:t>
      </w:r>
      <w:proofErr w:type="spellEnd"/>
      <w:r w:rsidR="00CC4386">
        <w:t xml:space="preserve"> risk </w:t>
      </w:r>
      <w:proofErr w:type="spellStart"/>
      <w:r w:rsidR="00CC4386">
        <w:t>levels</w:t>
      </w:r>
      <w:proofErr w:type="spellEnd"/>
      <w:r w:rsidR="00CC4386">
        <w:t xml:space="preserve"> </w:t>
      </w:r>
      <w:proofErr w:type="spellStart"/>
      <w:r w:rsidR="00CC4386">
        <w:t>between</w:t>
      </w:r>
      <w:proofErr w:type="spellEnd"/>
      <w:r w:rsidR="00CC4386">
        <w:t xml:space="preserve"> RULA and AULA and expert </w:t>
      </w:r>
      <w:proofErr w:type="spellStart"/>
      <w:r w:rsidR="00CC4386">
        <w:t>assessment</w:t>
      </w:r>
      <w:proofErr w:type="spellEnd"/>
      <w:r w:rsidR="00CC4386">
        <w:t xml:space="preserve"> </w:t>
      </w:r>
      <w:proofErr w:type="spellStart"/>
      <w:r w:rsidR="00CC4386">
        <w:t>were</w:t>
      </w:r>
      <w:proofErr w:type="spellEnd"/>
      <w:r w:rsidR="00CC4386">
        <w:t xml:space="preserve"> </w:t>
      </w:r>
      <w:proofErr w:type="spellStart"/>
      <w:r w:rsidR="00CC4386">
        <w:t>not</w:t>
      </w:r>
      <w:proofErr w:type="spellEnd"/>
      <w:r w:rsidR="00CC4386">
        <w:t xml:space="preserve"> </w:t>
      </w:r>
      <w:proofErr w:type="spellStart"/>
      <w:r w:rsidR="00CC4386">
        <w:t>statistically</w:t>
      </w:r>
      <w:proofErr w:type="spellEnd"/>
      <w:r w:rsidR="00CC4386">
        <w:t xml:space="preserve"> </w:t>
      </w:r>
      <w:proofErr w:type="spellStart"/>
      <w:r w:rsidR="00CC4386">
        <w:t>different</w:t>
      </w:r>
      <w:proofErr w:type="spellEnd"/>
      <w:r w:rsidR="00CC4386">
        <w:t xml:space="preserve"> </w:t>
      </w:r>
      <w:r w:rsidR="00CC4386" w:rsidRPr="00CC4386">
        <w:t xml:space="preserve">(α </w:t>
      </w:r>
      <w:r w:rsidR="00CC4386">
        <w:t xml:space="preserve">&gt; </w:t>
      </w:r>
      <w:r w:rsidR="00CC4386" w:rsidRPr="00CC4386">
        <w:t xml:space="preserve">0.05), </w:t>
      </w:r>
      <w:r w:rsidR="00CC4386">
        <w:t xml:space="preserve">as </w:t>
      </w:r>
      <w:proofErr w:type="spellStart"/>
      <w:r w:rsidR="00CC4386">
        <w:t>presented</w:t>
      </w:r>
      <w:proofErr w:type="spellEnd"/>
      <w:r w:rsidR="00CC4386">
        <w:t xml:space="preserve"> in </w:t>
      </w:r>
      <w:proofErr w:type="spellStart"/>
      <w:r w:rsidR="00CC4386">
        <w:t>Tables</w:t>
      </w:r>
      <w:proofErr w:type="spellEnd"/>
      <w:r w:rsidR="00CC4386">
        <w:t xml:space="preserve"> </w:t>
      </w:r>
      <w:r w:rsidR="0053550F">
        <w:t>4</w:t>
      </w:r>
      <w:r w:rsidR="00CC4386">
        <w:t xml:space="preserve"> and </w:t>
      </w:r>
      <w:r w:rsidR="0053550F">
        <w:t>5</w:t>
      </w:r>
      <w:r w:rsidR="00CC4386">
        <w:t xml:space="preserve">. </w:t>
      </w:r>
      <w:proofErr w:type="spellStart"/>
      <w:r w:rsidR="00CC4386">
        <w:t>When</w:t>
      </w:r>
      <w:proofErr w:type="spellEnd"/>
      <w:r w:rsidR="00CC4386">
        <w:t xml:space="preserve"> RULA </w:t>
      </w:r>
      <w:proofErr w:type="spellStart"/>
      <w:r w:rsidR="00CC4386">
        <w:t>was</w:t>
      </w:r>
      <w:proofErr w:type="spellEnd"/>
      <w:r w:rsidR="00CC4386">
        <w:t xml:space="preserve"> </w:t>
      </w:r>
      <w:proofErr w:type="spellStart"/>
      <w:r w:rsidR="00CC4386">
        <w:t>compared</w:t>
      </w:r>
      <w:proofErr w:type="spellEnd"/>
      <w:r w:rsidR="00CC4386">
        <w:t xml:space="preserve"> </w:t>
      </w:r>
      <w:proofErr w:type="spellStart"/>
      <w:r w:rsidR="00CC4386">
        <w:t>with</w:t>
      </w:r>
      <w:proofErr w:type="spellEnd"/>
      <w:r w:rsidR="00CC4386">
        <w:t xml:space="preserve"> AULA, </w:t>
      </w:r>
      <w:proofErr w:type="spellStart"/>
      <w:r w:rsidR="00CC4386">
        <w:t>the</w:t>
      </w:r>
      <w:proofErr w:type="spellEnd"/>
      <w:r w:rsidR="00CC4386">
        <w:t xml:space="preserve"> </w:t>
      </w:r>
      <w:r>
        <w:t>t-test</w:t>
      </w:r>
      <w:r w:rsidR="00CC4386">
        <w:t xml:space="preserve"> </w:t>
      </w:r>
      <w:proofErr w:type="spellStart"/>
      <w:r>
        <w:t>result</w:t>
      </w:r>
      <w:proofErr w:type="spellEnd"/>
      <w:r>
        <w:t xml:space="preserve"> </w:t>
      </w:r>
      <w:proofErr w:type="spellStart"/>
      <w:r>
        <w:t>showed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risk </w:t>
      </w:r>
      <w:proofErr w:type="spellStart"/>
      <w:r>
        <w:t>levels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statistically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r w:rsidRPr="00CC4386">
        <w:t xml:space="preserve">(α </w:t>
      </w:r>
      <w:r>
        <w:t xml:space="preserve">&gt; </w:t>
      </w:r>
      <w:r w:rsidRPr="00CC4386">
        <w:t>0.05</w:t>
      </w:r>
      <w:r>
        <w:t>)</w:t>
      </w:r>
      <w:r w:rsidR="00943591">
        <w:t xml:space="preserve">, as </w:t>
      </w:r>
      <w:proofErr w:type="spellStart"/>
      <w:r w:rsidR="00943591">
        <w:t>shown</w:t>
      </w:r>
      <w:proofErr w:type="spellEnd"/>
      <w:r w:rsidR="00943591">
        <w:t xml:space="preserve"> in Table </w:t>
      </w:r>
      <w:r w:rsidR="0053550F">
        <w:t>6</w:t>
      </w:r>
      <w:r>
        <w:t xml:space="preserve">. </w:t>
      </w:r>
      <w:proofErr w:type="spellStart"/>
      <w:r w:rsidR="003D6D40">
        <w:t>Since</w:t>
      </w:r>
      <w:proofErr w:type="spellEnd"/>
      <w:r w:rsidR="003D6D40">
        <w:t xml:space="preserve"> </w:t>
      </w:r>
      <w:proofErr w:type="spellStart"/>
      <w:r w:rsidR="003D6D40">
        <w:t>the</w:t>
      </w:r>
      <w:proofErr w:type="spellEnd"/>
      <w:r w:rsidR="003D6D40">
        <w:t xml:space="preserve"> </w:t>
      </w:r>
      <w:proofErr w:type="spellStart"/>
      <w:r w:rsidR="003D6D40">
        <w:t>average</w:t>
      </w:r>
      <w:proofErr w:type="spellEnd"/>
      <w:r w:rsidR="003D6D40">
        <w:t xml:space="preserve"> risk level of AULA </w:t>
      </w:r>
      <w:proofErr w:type="spellStart"/>
      <w:r w:rsidR="003D6D40">
        <w:t>was</w:t>
      </w:r>
      <w:proofErr w:type="spellEnd"/>
      <w:r w:rsidR="003D6D40">
        <w:t xml:space="preserve"> </w:t>
      </w:r>
      <w:proofErr w:type="spellStart"/>
      <w:r w:rsidR="003D6D40">
        <w:t>not</w:t>
      </w:r>
      <w:proofErr w:type="spellEnd"/>
      <w:r w:rsidR="003D6D40">
        <w:t xml:space="preserve"> </w:t>
      </w:r>
      <w:proofErr w:type="spellStart"/>
      <w:r w:rsidR="003D6D40">
        <w:t>significantly</w:t>
      </w:r>
      <w:proofErr w:type="spellEnd"/>
      <w:r w:rsidR="003D6D40">
        <w:t xml:space="preserve"> </w:t>
      </w:r>
      <w:proofErr w:type="spellStart"/>
      <w:r w:rsidR="003D6D40">
        <w:t>different</w:t>
      </w:r>
      <w:proofErr w:type="spellEnd"/>
      <w:r w:rsidR="003D6D40">
        <w:t xml:space="preserve"> </w:t>
      </w:r>
      <w:proofErr w:type="spellStart"/>
      <w:r w:rsidR="003D6D40">
        <w:t>from</w:t>
      </w:r>
      <w:proofErr w:type="spellEnd"/>
      <w:r w:rsidR="003D6D40">
        <w:t xml:space="preserve"> RULA, </w:t>
      </w:r>
      <w:proofErr w:type="spellStart"/>
      <w:r w:rsidR="003D6D40">
        <w:t>it</w:t>
      </w:r>
      <w:proofErr w:type="spellEnd"/>
      <w:r w:rsidR="003D6D40">
        <w:t xml:space="preserve"> </w:t>
      </w:r>
      <w:proofErr w:type="spellStart"/>
      <w:r w:rsidR="003D6D40">
        <w:t>could</w:t>
      </w:r>
      <w:proofErr w:type="spellEnd"/>
      <w:r w:rsidR="003D6D40">
        <w:t xml:space="preserve"> </w:t>
      </w:r>
      <w:proofErr w:type="spellStart"/>
      <w:r w:rsidR="003D6D40">
        <w:t>be</w:t>
      </w:r>
      <w:proofErr w:type="spellEnd"/>
      <w:r w:rsidR="003D6D40">
        <w:t xml:space="preserve"> </w:t>
      </w:r>
      <w:proofErr w:type="spellStart"/>
      <w:r w:rsidR="003D6D40">
        <w:t>predicted</w:t>
      </w:r>
      <w:proofErr w:type="spellEnd"/>
      <w:r w:rsidR="003D6D40">
        <w:t xml:space="preserve"> </w:t>
      </w:r>
      <w:proofErr w:type="spellStart"/>
      <w:r w:rsidR="003D6D40">
        <w:t>that</w:t>
      </w:r>
      <w:proofErr w:type="spellEnd"/>
      <w:r w:rsidR="003D6D40">
        <w:t xml:space="preserve"> </w:t>
      </w:r>
      <w:proofErr w:type="spellStart"/>
      <w:r w:rsidR="003D6D40">
        <w:t>the</w:t>
      </w:r>
      <w:proofErr w:type="spellEnd"/>
      <w:r w:rsidR="003D6D40">
        <w:t xml:space="preserve"> risk level of </w:t>
      </w:r>
      <w:proofErr w:type="spellStart"/>
      <w:r w:rsidR="003D6D40">
        <w:t>these</w:t>
      </w:r>
      <w:proofErr w:type="spellEnd"/>
      <w:r w:rsidR="003D6D40">
        <w:t xml:space="preserve"> </w:t>
      </w:r>
      <w:proofErr w:type="spellStart"/>
      <w:r w:rsidR="003D6D40">
        <w:t>two</w:t>
      </w:r>
      <w:proofErr w:type="spellEnd"/>
      <w:r w:rsidR="003D6D40">
        <w:t xml:space="preserve"> </w:t>
      </w:r>
      <w:proofErr w:type="spellStart"/>
      <w:r w:rsidR="003D6D40">
        <w:t>methods</w:t>
      </w:r>
      <w:proofErr w:type="spellEnd"/>
      <w:r w:rsidR="003D6D40">
        <w:t xml:space="preserve"> and expert </w:t>
      </w:r>
      <w:proofErr w:type="spellStart"/>
      <w:r w:rsidR="003D6D40">
        <w:t>assessment</w:t>
      </w:r>
      <w:proofErr w:type="spellEnd"/>
      <w:r w:rsidR="003D6D40">
        <w:t xml:space="preserve"> </w:t>
      </w:r>
      <w:proofErr w:type="spellStart"/>
      <w:r w:rsidR="003D6D40">
        <w:t>would</w:t>
      </w:r>
      <w:proofErr w:type="spellEnd"/>
      <w:r w:rsidR="003D6D40">
        <w:t xml:space="preserve"> </w:t>
      </w:r>
      <w:proofErr w:type="spellStart"/>
      <w:r w:rsidR="003D6D40">
        <w:t>not</w:t>
      </w:r>
      <w:proofErr w:type="spellEnd"/>
      <w:r w:rsidR="003D6D40">
        <w:t xml:space="preserve"> </w:t>
      </w:r>
      <w:proofErr w:type="spellStart"/>
      <w:r w:rsidR="003D6D40">
        <w:t>be</w:t>
      </w:r>
      <w:proofErr w:type="spellEnd"/>
      <w:r w:rsidR="003D6D40">
        <w:t xml:space="preserve"> </w:t>
      </w:r>
      <w:proofErr w:type="spellStart"/>
      <w:r w:rsidR="003D6D40">
        <w:t>different</w:t>
      </w:r>
      <w:proofErr w:type="spellEnd"/>
      <w:r w:rsidR="003D6D40">
        <w:t>.</w:t>
      </w:r>
      <w:r w:rsidR="0066135B" w:rsidRPr="0066135B">
        <w:t xml:space="preserve"> </w:t>
      </w:r>
      <w:proofErr w:type="spellStart"/>
      <w:r w:rsidR="0066135B">
        <w:t>Although</w:t>
      </w:r>
      <w:proofErr w:type="spellEnd"/>
      <w:r w:rsidR="0066135B">
        <w:t xml:space="preserve"> RULA and AULA </w:t>
      </w:r>
      <w:proofErr w:type="spellStart"/>
      <w:r w:rsidR="0066135B">
        <w:t>were</w:t>
      </w:r>
      <w:proofErr w:type="spellEnd"/>
      <w:r w:rsidR="0066135B">
        <w:t xml:space="preserve"> </w:t>
      </w:r>
      <w:proofErr w:type="spellStart"/>
      <w:r w:rsidR="0066135B">
        <w:t>developed</w:t>
      </w:r>
      <w:proofErr w:type="spellEnd"/>
      <w:r w:rsidR="0066135B">
        <w:t xml:space="preserve"> to </w:t>
      </w:r>
      <w:proofErr w:type="spellStart"/>
      <w:r w:rsidR="0066135B">
        <w:t>evaluate</w:t>
      </w:r>
      <w:proofErr w:type="spellEnd"/>
      <w:r w:rsidR="0066135B">
        <w:t xml:space="preserve"> </w:t>
      </w:r>
      <w:proofErr w:type="spellStart"/>
      <w:r w:rsidR="0066135B">
        <w:t>upper</w:t>
      </w:r>
      <w:proofErr w:type="spellEnd"/>
      <w:r w:rsidR="0066135B">
        <w:t xml:space="preserve"> segment</w:t>
      </w:r>
      <w:r w:rsidR="0066135B" w:rsidRPr="0065068A">
        <w:t xml:space="preserve"> </w:t>
      </w:r>
      <w:proofErr w:type="spellStart"/>
      <w:r w:rsidR="0066135B" w:rsidRPr="0065068A">
        <w:t>working</w:t>
      </w:r>
      <w:proofErr w:type="spellEnd"/>
      <w:r w:rsidR="0066135B" w:rsidRPr="0065068A">
        <w:t xml:space="preserve"> </w:t>
      </w:r>
      <w:proofErr w:type="spellStart"/>
      <w:r w:rsidR="0066135B" w:rsidRPr="0065068A">
        <w:t>posture</w:t>
      </w:r>
      <w:proofErr w:type="spellEnd"/>
      <w:r w:rsidR="0066135B">
        <w:t xml:space="preserve">, </w:t>
      </w:r>
      <w:proofErr w:type="spellStart"/>
      <w:r w:rsidR="0066135B">
        <w:t>the</w:t>
      </w:r>
      <w:proofErr w:type="spellEnd"/>
      <w:r w:rsidR="0066135B">
        <w:t xml:space="preserve"> </w:t>
      </w:r>
      <w:proofErr w:type="spellStart"/>
      <w:r w:rsidR="0066135B">
        <w:t>criteria</w:t>
      </w:r>
      <w:proofErr w:type="spellEnd"/>
      <w:r w:rsidR="0066135B">
        <w:t xml:space="preserve"> </w:t>
      </w:r>
      <w:proofErr w:type="spellStart"/>
      <w:r w:rsidR="0066135B">
        <w:t>used</w:t>
      </w:r>
      <w:proofErr w:type="spellEnd"/>
      <w:r w:rsidR="0066135B">
        <w:t xml:space="preserve"> to </w:t>
      </w:r>
      <w:proofErr w:type="spellStart"/>
      <w:r w:rsidR="0066135B">
        <w:t>determine</w:t>
      </w:r>
      <w:proofErr w:type="spellEnd"/>
      <w:r w:rsidR="0066135B">
        <w:t xml:space="preserve"> </w:t>
      </w:r>
      <w:proofErr w:type="spellStart"/>
      <w:r w:rsidR="0066135B">
        <w:t>the</w:t>
      </w:r>
      <w:proofErr w:type="spellEnd"/>
      <w:r w:rsidR="0066135B">
        <w:t xml:space="preserve"> </w:t>
      </w:r>
      <w:proofErr w:type="spellStart"/>
      <w:r w:rsidR="0066135B">
        <w:t>score</w:t>
      </w:r>
      <w:proofErr w:type="spellEnd"/>
      <w:r w:rsidR="0066135B">
        <w:t xml:space="preserve"> in </w:t>
      </w:r>
      <w:proofErr w:type="spellStart"/>
      <w:r w:rsidR="0066135B">
        <w:t>those</w:t>
      </w:r>
      <w:proofErr w:type="spellEnd"/>
      <w:r w:rsidR="0066135B">
        <w:t xml:space="preserve"> </w:t>
      </w:r>
      <w:proofErr w:type="spellStart"/>
      <w:r w:rsidR="0066135B">
        <w:t>methods</w:t>
      </w:r>
      <w:proofErr w:type="spellEnd"/>
      <w:r w:rsidR="0066135B">
        <w:t xml:space="preserve"> are </w:t>
      </w:r>
      <w:proofErr w:type="spellStart"/>
      <w:r w:rsidR="0066135B">
        <w:t>different</w:t>
      </w:r>
      <w:proofErr w:type="spellEnd"/>
      <w:r w:rsidR="0066135B">
        <w:t>.</w:t>
      </w:r>
    </w:p>
    <w:p w14:paraId="3B3EF030" w14:textId="77777777" w:rsidR="00563025" w:rsidRDefault="00563025" w:rsidP="00563025">
      <w:pPr>
        <w:ind w:firstLine="270"/>
        <w:jc w:val="both"/>
      </w:pPr>
    </w:p>
    <w:p w14:paraId="7891295E" w14:textId="77777777" w:rsidR="00563025" w:rsidRDefault="00563025" w:rsidP="00563025">
      <w:pPr>
        <w:ind w:firstLine="270"/>
        <w:jc w:val="both"/>
      </w:pPr>
    </w:p>
    <w:p w14:paraId="73ECE35F" w14:textId="444C523A" w:rsidR="00563025" w:rsidRDefault="00264603" w:rsidP="0053550F">
      <w:pPr>
        <w:jc w:val="center"/>
        <w:rPr>
          <w:sz w:val="18"/>
          <w:szCs w:val="18"/>
        </w:rPr>
      </w:pPr>
      <w:r w:rsidRPr="00563025">
        <w:rPr>
          <w:b/>
          <w:bCs/>
          <w:sz w:val="18"/>
          <w:szCs w:val="18"/>
        </w:rPr>
        <w:t xml:space="preserve">Table </w:t>
      </w:r>
      <w:r w:rsidR="0053550F">
        <w:rPr>
          <w:b/>
          <w:bCs/>
          <w:sz w:val="18"/>
          <w:szCs w:val="18"/>
        </w:rPr>
        <w:t>4</w:t>
      </w:r>
      <w:r w:rsidRPr="00563025">
        <w:rPr>
          <w:b/>
          <w:bCs/>
          <w:sz w:val="18"/>
          <w:szCs w:val="18"/>
        </w:rPr>
        <w:t>.</w:t>
      </w:r>
      <w:r w:rsidRPr="005E310E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Result</w:t>
      </w:r>
      <w:proofErr w:type="spellEnd"/>
      <w:r>
        <w:rPr>
          <w:sz w:val="18"/>
          <w:szCs w:val="18"/>
        </w:rPr>
        <w:t xml:space="preserve"> of t-test </w:t>
      </w:r>
      <w:proofErr w:type="spellStart"/>
      <w:r>
        <w:rPr>
          <w:sz w:val="18"/>
          <w:szCs w:val="18"/>
        </w:rPr>
        <w:t>between</w:t>
      </w:r>
      <w:proofErr w:type="spellEnd"/>
      <w:r>
        <w:rPr>
          <w:sz w:val="18"/>
          <w:szCs w:val="18"/>
        </w:rPr>
        <w:t xml:space="preserve"> AULA and</w:t>
      </w:r>
      <w:r>
        <w:rPr>
          <w:sz w:val="18"/>
          <w:szCs w:val="18"/>
        </w:rPr>
        <w:t xml:space="preserve"> expert </w:t>
      </w:r>
      <w:proofErr w:type="spellStart"/>
      <w:r>
        <w:rPr>
          <w:sz w:val="18"/>
          <w:szCs w:val="18"/>
        </w:rPr>
        <w:t>assessment</w:t>
      </w:r>
      <w:proofErr w:type="spellEnd"/>
      <w:r w:rsidR="00BF4BBD">
        <w:rPr>
          <w:sz w:val="18"/>
          <w:szCs w:val="18"/>
        </w:rPr>
        <w:t>.</w:t>
      </w:r>
    </w:p>
    <w:p w14:paraId="61DBA6D3" w14:textId="77777777" w:rsidR="0053550F" w:rsidRDefault="0053550F" w:rsidP="0053550F">
      <w:pPr>
        <w:jc w:val="center"/>
      </w:pPr>
    </w:p>
    <w:p w14:paraId="429BDB79" w14:textId="77777777" w:rsidR="00563025" w:rsidRDefault="00264603" w:rsidP="00563025">
      <w:pPr>
        <w:ind w:firstLine="270"/>
        <w:jc w:val="both"/>
      </w:pPr>
      <w:r w:rsidRPr="00F76C5E">
        <w:rPr>
          <w:noProof/>
        </w:rPr>
        <w:drawing>
          <wp:inline distT="0" distB="0" distL="0" distR="0" wp14:anchorId="0E24367B" wp14:editId="1E4ABE83">
            <wp:extent cx="4824095" cy="980762"/>
            <wp:effectExtent l="0" t="0" r="0" b="0"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095" cy="9807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3F7D3B" w14:textId="77777777" w:rsidR="00C1046C" w:rsidRPr="001B1026" w:rsidRDefault="00C1046C" w:rsidP="001B1026">
      <w:pPr>
        <w:ind w:firstLine="270"/>
        <w:rPr>
          <w:sz w:val="18"/>
          <w:szCs w:val="18"/>
        </w:rPr>
      </w:pPr>
    </w:p>
    <w:p w14:paraId="4EB43D30" w14:textId="77777777" w:rsidR="00563025" w:rsidRDefault="00563025" w:rsidP="00563025">
      <w:pPr>
        <w:jc w:val="center"/>
        <w:rPr>
          <w:b/>
          <w:bCs/>
          <w:sz w:val="18"/>
          <w:szCs w:val="18"/>
        </w:rPr>
      </w:pPr>
    </w:p>
    <w:p w14:paraId="739C44E8" w14:textId="3EFB4387" w:rsidR="0053550F" w:rsidRDefault="00264603" w:rsidP="00563025">
      <w:pPr>
        <w:jc w:val="center"/>
        <w:rPr>
          <w:sz w:val="18"/>
          <w:szCs w:val="18"/>
        </w:rPr>
      </w:pPr>
      <w:r w:rsidRPr="00563025">
        <w:rPr>
          <w:b/>
          <w:bCs/>
          <w:sz w:val="18"/>
          <w:szCs w:val="18"/>
        </w:rPr>
        <w:t xml:space="preserve">Table </w:t>
      </w:r>
      <w:r>
        <w:rPr>
          <w:b/>
          <w:bCs/>
          <w:sz w:val="18"/>
          <w:szCs w:val="18"/>
        </w:rPr>
        <w:t>5</w:t>
      </w:r>
      <w:r w:rsidRPr="00563025">
        <w:rPr>
          <w:b/>
          <w:bCs/>
          <w:sz w:val="18"/>
          <w:szCs w:val="18"/>
        </w:rPr>
        <w:t>.</w:t>
      </w:r>
      <w:r w:rsidRPr="005E310E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Result</w:t>
      </w:r>
      <w:proofErr w:type="spellEnd"/>
      <w:r>
        <w:rPr>
          <w:sz w:val="18"/>
          <w:szCs w:val="18"/>
        </w:rPr>
        <w:t xml:space="preserve"> of t-test </w:t>
      </w:r>
      <w:proofErr w:type="spellStart"/>
      <w:r>
        <w:rPr>
          <w:sz w:val="18"/>
          <w:szCs w:val="18"/>
        </w:rPr>
        <w:t>between</w:t>
      </w:r>
      <w:proofErr w:type="spellEnd"/>
      <w:r>
        <w:rPr>
          <w:sz w:val="18"/>
          <w:szCs w:val="18"/>
        </w:rPr>
        <w:t xml:space="preserve"> RULA and expert </w:t>
      </w:r>
      <w:proofErr w:type="spellStart"/>
      <w:r>
        <w:rPr>
          <w:sz w:val="18"/>
          <w:szCs w:val="18"/>
        </w:rPr>
        <w:t>assessment</w:t>
      </w:r>
      <w:proofErr w:type="spellEnd"/>
      <w:r w:rsidR="00BF4BBD">
        <w:rPr>
          <w:sz w:val="18"/>
          <w:szCs w:val="18"/>
        </w:rPr>
        <w:t>.</w:t>
      </w:r>
    </w:p>
    <w:p w14:paraId="4D0C7CC1" w14:textId="77777777" w:rsidR="00563025" w:rsidRDefault="00264603" w:rsidP="00563025">
      <w:pPr>
        <w:jc w:val="center"/>
        <w:rPr>
          <w:b/>
          <w:bCs/>
          <w:sz w:val="18"/>
          <w:szCs w:val="18"/>
        </w:rPr>
      </w:pPr>
      <w:r w:rsidRPr="00F76C5E">
        <w:rPr>
          <w:noProof/>
        </w:rPr>
        <w:drawing>
          <wp:inline distT="0" distB="0" distL="0" distR="0" wp14:anchorId="347B796A" wp14:editId="7FED9878">
            <wp:extent cx="4824095" cy="980399"/>
            <wp:effectExtent l="0" t="0" r="0" b="0"/>
            <wp:docPr id="5" name="Picture 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095" cy="980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1AD758" w14:textId="77777777" w:rsidR="00563025" w:rsidRDefault="00563025" w:rsidP="00563025">
      <w:pPr>
        <w:jc w:val="center"/>
        <w:rPr>
          <w:b/>
          <w:bCs/>
          <w:sz w:val="18"/>
          <w:szCs w:val="18"/>
        </w:rPr>
      </w:pPr>
    </w:p>
    <w:p w14:paraId="67C44600" w14:textId="77777777" w:rsidR="00563025" w:rsidRDefault="00563025" w:rsidP="00563025">
      <w:pPr>
        <w:jc w:val="center"/>
        <w:rPr>
          <w:b/>
          <w:bCs/>
          <w:sz w:val="18"/>
          <w:szCs w:val="18"/>
        </w:rPr>
      </w:pPr>
    </w:p>
    <w:p w14:paraId="6FBE51BA" w14:textId="485A5E52" w:rsidR="00563025" w:rsidRPr="005E310E" w:rsidRDefault="00264603" w:rsidP="00563025">
      <w:pPr>
        <w:jc w:val="center"/>
        <w:rPr>
          <w:sz w:val="18"/>
          <w:szCs w:val="18"/>
        </w:rPr>
      </w:pPr>
      <w:r w:rsidRPr="00F76C5E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8FF1FF0" wp14:editId="4E792D34">
            <wp:simplePos x="0" y="0"/>
            <wp:positionH relativeFrom="margin">
              <wp:align>right</wp:align>
            </wp:positionH>
            <wp:positionV relativeFrom="paragraph">
              <wp:posOffset>228617</wp:posOffset>
            </wp:positionV>
            <wp:extent cx="4824095" cy="980789"/>
            <wp:effectExtent l="0" t="0" r="0" b="0"/>
            <wp:wrapSquare wrapText="bothSides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095" cy="9807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3025">
        <w:rPr>
          <w:b/>
          <w:bCs/>
          <w:sz w:val="18"/>
          <w:szCs w:val="18"/>
        </w:rPr>
        <w:t xml:space="preserve">Table </w:t>
      </w:r>
      <w:r w:rsidR="0053550F">
        <w:rPr>
          <w:b/>
          <w:bCs/>
          <w:sz w:val="18"/>
          <w:szCs w:val="18"/>
        </w:rPr>
        <w:t>6</w:t>
      </w:r>
      <w:r w:rsidRPr="00563025">
        <w:rPr>
          <w:b/>
          <w:bCs/>
          <w:sz w:val="18"/>
          <w:szCs w:val="18"/>
        </w:rPr>
        <w:t>.</w:t>
      </w:r>
      <w:r w:rsidRPr="005E310E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Result</w:t>
      </w:r>
      <w:proofErr w:type="spellEnd"/>
      <w:r>
        <w:rPr>
          <w:sz w:val="18"/>
          <w:szCs w:val="18"/>
        </w:rPr>
        <w:t xml:space="preserve"> of t-test </w:t>
      </w:r>
      <w:proofErr w:type="spellStart"/>
      <w:r>
        <w:rPr>
          <w:sz w:val="18"/>
          <w:szCs w:val="18"/>
        </w:rPr>
        <w:t>between</w:t>
      </w:r>
      <w:proofErr w:type="spellEnd"/>
      <w:r>
        <w:rPr>
          <w:sz w:val="18"/>
          <w:szCs w:val="18"/>
        </w:rPr>
        <w:t xml:space="preserve"> AULA and RULA</w:t>
      </w:r>
      <w:r w:rsidR="00BF4BBD">
        <w:rPr>
          <w:sz w:val="18"/>
          <w:szCs w:val="18"/>
        </w:rPr>
        <w:t>.</w:t>
      </w:r>
    </w:p>
    <w:p w14:paraId="735243B4" w14:textId="77777777" w:rsidR="00D073B7" w:rsidRDefault="00D073B7" w:rsidP="00563025">
      <w:pPr>
        <w:ind w:firstLine="270"/>
        <w:jc w:val="both"/>
      </w:pPr>
    </w:p>
    <w:p w14:paraId="35FC4967" w14:textId="77777777" w:rsidR="00D073B7" w:rsidRDefault="00264603" w:rsidP="00563025">
      <w:pPr>
        <w:ind w:firstLine="27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C7F6C4" wp14:editId="27526CA2">
            <wp:simplePos x="0" y="0"/>
            <wp:positionH relativeFrom="column">
              <wp:posOffset>1412509</wp:posOffset>
            </wp:positionH>
            <wp:positionV relativeFrom="paragraph">
              <wp:posOffset>23129</wp:posOffset>
            </wp:positionV>
            <wp:extent cx="2427668" cy="1459291"/>
            <wp:effectExtent l="0" t="0" r="0" b="762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668" cy="14592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98B562" w14:textId="77777777" w:rsidR="004E78C3" w:rsidRDefault="004E78C3" w:rsidP="00563025">
      <w:pPr>
        <w:ind w:firstLine="270"/>
        <w:jc w:val="both"/>
      </w:pPr>
    </w:p>
    <w:p w14:paraId="3F733696" w14:textId="77777777" w:rsidR="004E78C3" w:rsidRDefault="004E78C3" w:rsidP="004E78C3">
      <w:pPr>
        <w:pStyle w:val="Paragraph"/>
      </w:pPr>
    </w:p>
    <w:p w14:paraId="4201E4FF" w14:textId="77777777" w:rsidR="004E78C3" w:rsidRDefault="004E78C3" w:rsidP="004E78C3">
      <w:pPr>
        <w:pStyle w:val="Paragraph"/>
      </w:pPr>
    </w:p>
    <w:p w14:paraId="5DBACF92" w14:textId="77777777" w:rsidR="004E78C3" w:rsidRDefault="004E78C3" w:rsidP="004E78C3">
      <w:pPr>
        <w:pStyle w:val="Paragraph"/>
      </w:pPr>
    </w:p>
    <w:p w14:paraId="62B9F213" w14:textId="77777777" w:rsidR="004E78C3" w:rsidRDefault="004E78C3" w:rsidP="004E78C3">
      <w:pPr>
        <w:pStyle w:val="Paragraph"/>
      </w:pPr>
    </w:p>
    <w:p w14:paraId="12889B2C" w14:textId="77777777" w:rsidR="004E78C3" w:rsidRDefault="004E78C3" w:rsidP="004E78C3">
      <w:pPr>
        <w:pStyle w:val="Paragraph"/>
      </w:pPr>
    </w:p>
    <w:p w14:paraId="1DB5996A" w14:textId="77777777" w:rsidR="004E78C3" w:rsidRDefault="004E78C3" w:rsidP="004E78C3">
      <w:pPr>
        <w:pStyle w:val="Paragraph"/>
      </w:pPr>
    </w:p>
    <w:p w14:paraId="5ACB3459" w14:textId="77777777" w:rsidR="004E78C3" w:rsidRDefault="004E78C3" w:rsidP="004E78C3">
      <w:pPr>
        <w:pStyle w:val="Paragraph"/>
      </w:pPr>
    </w:p>
    <w:p w14:paraId="40A4270E" w14:textId="77777777" w:rsidR="004E78C3" w:rsidRDefault="004E78C3" w:rsidP="004E78C3">
      <w:pPr>
        <w:pStyle w:val="Paragraph"/>
      </w:pPr>
    </w:p>
    <w:p w14:paraId="747B0D10" w14:textId="77777777" w:rsidR="004E78C3" w:rsidRDefault="004E78C3" w:rsidP="004E78C3">
      <w:pPr>
        <w:pStyle w:val="Paragraph"/>
      </w:pPr>
    </w:p>
    <w:p w14:paraId="2FB11BDF" w14:textId="4DE1462E" w:rsidR="004E78C3" w:rsidRDefault="00264603" w:rsidP="004E78C3">
      <w:pPr>
        <w:pStyle w:val="Paragraph"/>
        <w:jc w:val="center"/>
      </w:pPr>
      <w:r>
        <w:t xml:space="preserve">Figure </w:t>
      </w:r>
      <w:r w:rsidR="0053550F">
        <w:t>3</w:t>
      </w:r>
      <w:r>
        <w:t>. Comparison between RULA, AULA, and expert assessment</w:t>
      </w:r>
      <w:r w:rsidR="00BF4BBD">
        <w:t>.</w:t>
      </w:r>
    </w:p>
    <w:p w14:paraId="3886F3A2" w14:textId="77777777" w:rsidR="006F45FE" w:rsidRDefault="006F45FE" w:rsidP="004E78C3">
      <w:pPr>
        <w:pStyle w:val="Paragraph"/>
        <w:jc w:val="center"/>
      </w:pPr>
    </w:p>
    <w:p w14:paraId="2C3D5B7B" w14:textId="77777777" w:rsidR="004E78C3" w:rsidRDefault="00264603" w:rsidP="004E78C3">
      <w:pPr>
        <w:pStyle w:val="Paragraph"/>
      </w:pPr>
      <w:r>
        <w:t xml:space="preserve">Compared with the experts' working </w:t>
      </w:r>
      <w:r>
        <w:t>posture rated as risk level 2, RULA showed a higher risk level (0.29), and the AULA assessment tool showed undervaluation (- 0.24), as shown in Figure 1. For working posture, rated as risk level 3 by the experts, all the ergonomic evaluation tools showed u</w:t>
      </w:r>
      <w:r>
        <w:t>ndervaluation, RULA, and AULA (- 0.21). Despite the difference between experts and the two ergonomics methods'</w:t>
      </w:r>
      <w:r w:rsidRPr="006F2F72">
        <w:t xml:space="preserve"> </w:t>
      </w:r>
      <w:r>
        <w:t>assessment, RULA and AULA risk levels were not statistically significantly different from the experts' assessment (</w:t>
      </w:r>
      <w:r w:rsidRPr="00407EC0">
        <w:t xml:space="preserve">α </w:t>
      </w:r>
      <w:r>
        <w:t>&gt;</w:t>
      </w:r>
      <w:r w:rsidRPr="00407EC0">
        <w:t xml:space="preserve"> 0.05</w:t>
      </w:r>
      <w:r>
        <w:t xml:space="preserve">). </w:t>
      </w:r>
    </w:p>
    <w:p w14:paraId="55458D26" w14:textId="0268D4CA" w:rsidR="00831027" w:rsidRDefault="00264603" w:rsidP="004148A0">
      <w:pPr>
        <w:ind w:firstLine="284"/>
        <w:jc w:val="both"/>
      </w:pPr>
      <w:proofErr w:type="spellStart"/>
      <w:r>
        <w:t>Although</w:t>
      </w:r>
      <w:proofErr w:type="spellEnd"/>
      <w:r>
        <w:t xml:space="preserve"> AULA and </w:t>
      </w:r>
      <w:r>
        <w:t xml:space="preserve">RULA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developed</w:t>
      </w:r>
      <w:proofErr w:type="spellEnd"/>
      <w:r>
        <w:t xml:space="preserve"> to </w:t>
      </w:r>
      <w:proofErr w:type="spellStart"/>
      <w:r>
        <w:t>evaluate</w:t>
      </w:r>
      <w:proofErr w:type="spellEnd"/>
      <w:r>
        <w:t xml:space="preserve"> </w:t>
      </w:r>
      <w:proofErr w:type="spellStart"/>
      <w:r w:rsidR="00AC14D3">
        <w:t>upper</w:t>
      </w:r>
      <w:proofErr w:type="spellEnd"/>
      <w:r w:rsidR="00AC14D3">
        <w:t xml:space="preserve"> </w:t>
      </w:r>
      <w:proofErr w:type="spellStart"/>
      <w:r w:rsidR="00AC14D3">
        <w:t>limb</w:t>
      </w:r>
      <w:proofErr w:type="spellEnd"/>
      <w:r w:rsidRPr="0065068A">
        <w:t xml:space="preserve"> </w:t>
      </w:r>
      <w:proofErr w:type="spellStart"/>
      <w:r w:rsidRPr="0065068A">
        <w:t>working</w:t>
      </w:r>
      <w:proofErr w:type="spellEnd"/>
      <w:r w:rsidRPr="0065068A">
        <w:t xml:space="preserve"> </w:t>
      </w:r>
      <w:proofErr w:type="spellStart"/>
      <w:r w:rsidRPr="0065068A">
        <w:t>posture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criteria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to </w:t>
      </w:r>
      <w:proofErr w:type="spellStart"/>
      <w:r>
        <w:t>determine</w:t>
      </w:r>
      <w:proofErr w:type="spellEnd"/>
      <w:r>
        <w:t xml:space="preserve"> </w:t>
      </w:r>
      <w:proofErr w:type="spellStart"/>
      <w:r w:rsidR="00831027">
        <w:t>those</w:t>
      </w:r>
      <w:proofErr w:type="spellEnd"/>
      <w:r w:rsidR="00831027">
        <w:t xml:space="preserve"> </w:t>
      </w:r>
      <w:proofErr w:type="spellStart"/>
      <w:r w:rsidR="00831027">
        <w:t>methods</w:t>
      </w:r>
      <w:proofErr w:type="spellEnd"/>
      <w:r w:rsidR="00831027">
        <w:t xml:space="preserve">' </w:t>
      </w:r>
      <w:proofErr w:type="spellStart"/>
      <w:r w:rsidR="00831027">
        <w:t>scores</w:t>
      </w:r>
      <w:proofErr w:type="spellEnd"/>
      <w:r>
        <w:t xml:space="preserve"> are </w:t>
      </w:r>
      <w:proofErr w:type="spellStart"/>
      <w:r>
        <w:t>different</w:t>
      </w:r>
      <w:proofErr w:type="spellEnd"/>
      <w:r>
        <w:t>.</w:t>
      </w:r>
      <w:r w:rsidR="00AC14D3" w:rsidRPr="00AC14D3">
        <w:t xml:space="preserve"> </w:t>
      </w:r>
      <w:r w:rsidR="00AC14D3">
        <w:t xml:space="preserve">AULA </w:t>
      </w:r>
      <w:proofErr w:type="spellStart"/>
      <w:r w:rsidR="00AC14D3">
        <w:t>assesses</w:t>
      </w:r>
      <w:proofErr w:type="spellEnd"/>
      <w:r w:rsidR="00AC14D3">
        <w:t xml:space="preserve"> 14 </w:t>
      </w:r>
      <w:proofErr w:type="spellStart"/>
      <w:r w:rsidR="00AC14D3">
        <w:t>upper</w:t>
      </w:r>
      <w:proofErr w:type="spellEnd"/>
      <w:r w:rsidR="00AC14D3">
        <w:t xml:space="preserve"> </w:t>
      </w:r>
      <w:proofErr w:type="spellStart"/>
      <w:r w:rsidR="00AC14D3">
        <w:t>limb</w:t>
      </w:r>
      <w:proofErr w:type="spellEnd"/>
      <w:r w:rsidR="00AC14D3">
        <w:t xml:space="preserve"> </w:t>
      </w:r>
      <w:proofErr w:type="spellStart"/>
      <w:r w:rsidR="00AC14D3">
        <w:t>postures</w:t>
      </w:r>
      <w:proofErr w:type="spellEnd"/>
      <w:r w:rsidR="00AC14D3">
        <w:t xml:space="preserve">. </w:t>
      </w:r>
      <w:proofErr w:type="spellStart"/>
      <w:r w:rsidR="00AC14D3">
        <w:t>The</w:t>
      </w:r>
      <w:proofErr w:type="spellEnd"/>
      <w:r w:rsidR="00AC14D3">
        <w:t xml:space="preserve"> </w:t>
      </w:r>
      <w:proofErr w:type="spellStart"/>
      <w:r w:rsidR="00AC14D3">
        <w:t>upper</w:t>
      </w:r>
      <w:proofErr w:type="spellEnd"/>
      <w:r w:rsidR="00AC14D3">
        <w:t xml:space="preserve"> </w:t>
      </w:r>
      <w:proofErr w:type="spellStart"/>
      <w:r w:rsidR="00AC14D3">
        <w:t>limb</w:t>
      </w:r>
      <w:proofErr w:type="spellEnd"/>
      <w:r w:rsidR="00AC14D3">
        <w:t xml:space="preserve"> </w:t>
      </w:r>
      <w:proofErr w:type="spellStart"/>
      <w:r w:rsidR="00AC14D3">
        <w:t>postures</w:t>
      </w:r>
      <w:proofErr w:type="spellEnd"/>
      <w:r w:rsidR="00AC14D3">
        <w:t xml:space="preserve"> are </w:t>
      </w:r>
      <w:proofErr w:type="spellStart"/>
      <w:r w:rsidR="00AC14D3">
        <w:t>evaluated</w:t>
      </w:r>
      <w:proofErr w:type="spellEnd"/>
      <w:r w:rsidR="00AC14D3">
        <w:t xml:space="preserve"> by </w:t>
      </w:r>
      <w:proofErr w:type="spellStart"/>
      <w:r w:rsidR="00AC14D3">
        <w:t>observing</w:t>
      </w:r>
      <w:proofErr w:type="spellEnd"/>
      <w:r w:rsidR="00AC14D3">
        <w:t xml:space="preserve"> </w:t>
      </w:r>
      <w:proofErr w:type="spellStart"/>
      <w:r w:rsidR="00AC14D3">
        <w:t>the</w:t>
      </w:r>
      <w:proofErr w:type="spellEnd"/>
      <w:r w:rsidR="00AC14D3">
        <w:t xml:space="preserve"> </w:t>
      </w:r>
      <w:proofErr w:type="spellStart"/>
      <w:r w:rsidR="00AC14D3">
        <w:t>angle</w:t>
      </w:r>
      <w:proofErr w:type="spellEnd"/>
      <w:r w:rsidR="00AC14D3">
        <w:t xml:space="preserve"> of </w:t>
      </w:r>
      <w:proofErr w:type="spellStart"/>
      <w:r w:rsidR="00AC14D3">
        <w:t>the</w:t>
      </w:r>
      <w:proofErr w:type="spellEnd"/>
      <w:r w:rsidR="00AC14D3">
        <w:t xml:space="preserve"> </w:t>
      </w:r>
      <w:proofErr w:type="spellStart"/>
      <w:r w:rsidR="00AC14D3">
        <w:t>trunk</w:t>
      </w:r>
      <w:proofErr w:type="spellEnd"/>
      <w:r w:rsidR="00AC14D3">
        <w:t xml:space="preserve"> </w:t>
      </w:r>
      <w:proofErr w:type="spellStart"/>
      <w:r w:rsidR="00AC14D3">
        <w:t>combined</w:t>
      </w:r>
      <w:proofErr w:type="spellEnd"/>
      <w:r w:rsidR="00AC14D3">
        <w:t xml:space="preserve"> </w:t>
      </w:r>
      <w:proofErr w:type="spellStart"/>
      <w:r w:rsidR="00AC14D3">
        <w:t>with</w:t>
      </w:r>
      <w:proofErr w:type="spellEnd"/>
      <w:r w:rsidR="00AC14D3">
        <w:t xml:space="preserve"> </w:t>
      </w:r>
      <w:proofErr w:type="spellStart"/>
      <w:r w:rsidR="00AC14D3">
        <w:t>the</w:t>
      </w:r>
      <w:proofErr w:type="spellEnd"/>
      <w:r w:rsidR="00AC14D3">
        <w:t xml:space="preserve"> </w:t>
      </w:r>
      <w:r w:rsidR="00831027">
        <w:t>tip</w:t>
      </w:r>
      <w:r w:rsidR="00AC14D3">
        <w:t xml:space="preserve"> of </w:t>
      </w:r>
      <w:proofErr w:type="spellStart"/>
      <w:r w:rsidR="00AC14D3">
        <w:t>the</w:t>
      </w:r>
      <w:proofErr w:type="spellEnd"/>
      <w:r w:rsidR="00AC14D3">
        <w:t xml:space="preserve"> </w:t>
      </w:r>
      <w:proofErr w:type="spellStart"/>
      <w:r w:rsidR="00AC14D3">
        <w:t>upper</w:t>
      </w:r>
      <w:proofErr w:type="spellEnd"/>
      <w:r w:rsidR="00AC14D3">
        <w:t xml:space="preserve"> </w:t>
      </w:r>
      <w:proofErr w:type="spellStart"/>
      <w:r w:rsidR="00AC14D3">
        <w:t>arm</w:t>
      </w:r>
      <w:proofErr w:type="spellEnd"/>
      <w:r w:rsidR="00AC14D3">
        <w:t xml:space="preserve"> and </w:t>
      </w:r>
      <w:proofErr w:type="spellStart"/>
      <w:r w:rsidR="00AC14D3">
        <w:t>lower</w:t>
      </w:r>
      <w:proofErr w:type="spellEnd"/>
      <w:r w:rsidR="00AC14D3">
        <w:t xml:space="preserve"> </w:t>
      </w:r>
      <w:proofErr w:type="spellStart"/>
      <w:r w:rsidR="00AC14D3">
        <w:t>arm</w:t>
      </w:r>
      <w:proofErr w:type="spellEnd"/>
      <w:r w:rsidR="00AC14D3">
        <w:t xml:space="preserve">. In </w:t>
      </w:r>
      <w:proofErr w:type="spellStart"/>
      <w:r w:rsidR="00AC14D3">
        <w:t>determining</w:t>
      </w:r>
      <w:proofErr w:type="spellEnd"/>
      <w:r w:rsidR="00AC14D3">
        <w:t xml:space="preserve"> </w:t>
      </w:r>
      <w:proofErr w:type="spellStart"/>
      <w:r w:rsidR="00AC14D3">
        <w:t>the</w:t>
      </w:r>
      <w:proofErr w:type="spellEnd"/>
      <w:r w:rsidR="00AC14D3">
        <w:t xml:space="preserve"> risk </w:t>
      </w:r>
      <w:proofErr w:type="spellStart"/>
      <w:r w:rsidR="00AC14D3">
        <w:t>score</w:t>
      </w:r>
      <w:proofErr w:type="spellEnd"/>
      <w:r w:rsidR="00AC14D3">
        <w:t xml:space="preserve">, AULA </w:t>
      </w:r>
      <w:proofErr w:type="spellStart"/>
      <w:r w:rsidR="00AC14D3">
        <w:t>considered</w:t>
      </w:r>
      <w:proofErr w:type="spellEnd"/>
      <w:r w:rsidR="00AC14D3">
        <w:t xml:space="preserve"> </w:t>
      </w:r>
      <w:proofErr w:type="spellStart"/>
      <w:r w:rsidR="00AC14D3">
        <w:t>the</w:t>
      </w:r>
      <w:proofErr w:type="spellEnd"/>
      <w:r w:rsidR="00AC14D3">
        <w:t xml:space="preserve"> </w:t>
      </w:r>
      <w:proofErr w:type="spellStart"/>
      <w:r w:rsidR="00AC14D3">
        <w:t>duration</w:t>
      </w:r>
      <w:proofErr w:type="spellEnd"/>
      <w:r w:rsidR="00AC14D3">
        <w:t xml:space="preserve"> of </w:t>
      </w:r>
      <w:proofErr w:type="spellStart"/>
      <w:r w:rsidR="00AC14D3">
        <w:t>each</w:t>
      </w:r>
      <w:proofErr w:type="spellEnd"/>
      <w:r w:rsidR="00AC14D3">
        <w:t xml:space="preserve"> </w:t>
      </w:r>
      <w:proofErr w:type="spellStart"/>
      <w:r w:rsidR="00AC14D3">
        <w:t>posture</w:t>
      </w:r>
      <w:proofErr w:type="spellEnd"/>
      <w:r w:rsidR="00AC14D3">
        <w:t xml:space="preserve">. On </w:t>
      </w:r>
      <w:proofErr w:type="spellStart"/>
      <w:r w:rsidR="00AC14D3">
        <w:t>the</w:t>
      </w:r>
      <w:proofErr w:type="spellEnd"/>
      <w:r w:rsidR="00AC14D3">
        <w:t xml:space="preserve"> </w:t>
      </w:r>
      <w:proofErr w:type="spellStart"/>
      <w:r w:rsidR="00AC14D3">
        <w:t>other</w:t>
      </w:r>
      <w:proofErr w:type="spellEnd"/>
      <w:r w:rsidR="00AC14D3">
        <w:t xml:space="preserve"> </w:t>
      </w:r>
      <w:proofErr w:type="spellStart"/>
      <w:r w:rsidR="00AC14D3">
        <w:t>hand</w:t>
      </w:r>
      <w:proofErr w:type="spellEnd"/>
      <w:r w:rsidR="00AC14D3">
        <w:t xml:space="preserve">, RULA </w:t>
      </w:r>
      <w:proofErr w:type="spellStart"/>
      <w:r w:rsidR="00AC14D3">
        <w:t>determines</w:t>
      </w:r>
      <w:proofErr w:type="spellEnd"/>
      <w:r w:rsidR="00AC14D3">
        <w:t xml:space="preserve"> </w:t>
      </w:r>
      <w:proofErr w:type="spellStart"/>
      <w:r w:rsidR="00AC14D3">
        <w:t>the</w:t>
      </w:r>
      <w:proofErr w:type="spellEnd"/>
      <w:r w:rsidR="00AC14D3">
        <w:t xml:space="preserve"> risk level by </w:t>
      </w:r>
      <w:proofErr w:type="spellStart"/>
      <w:r w:rsidR="00AC14D3">
        <w:t>assessing</w:t>
      </w:r>
      <w:proofErr w:type="spellEnd"/>
      <w:r w:rsidR="00AC14D3">
        <w:t xml:space="preserve"> </w:t>
      </w:r>
      <w:proofErr w:type="spellStart"/>
      <w:r w:rsidR="00AC14D3">
        <w:t>the</w:t>
      </w:r>
      <w:proofErr w:type="spellEnd"/>
      <w:r w:rsidR="00AC14D3">
        <w:t xml:space="preserve"> </w:t>
      </w:r>
      <w:proofErr w:type="spellStart"/>
      <w:r w:rsidR="00AC14D3">
        <w:t>angle</w:t>
      </w:r>
      <w:proofErr w:type="spellEnd"/>
      <w:r w:rsidR="00AC14D3">
        <w:t xml:space="preserve"> of 6 body </w:t>
      </w:r>
      <w:proofErr w:type="spellStart"/>
      <w:r w:rsidR="00AC14D3">
        <w:t>segments</w:t>
      </w:r>
      <w:proofErr w:type="spellEnd"/>
      <w:r w:rsidR="00AC14D3">
        <w:t xml:space="preserve"> (</w:t>
      </w:r>
      <w:proofErr w:type="spellStart"/>
      <w:r w:rsidR="00AC14D3">
        <w:t>i.e</w:t>
      </w:r>
      <w:proofErr w:type="spellEnd"/>
      <w:r w:rsidR="00AC14D3">
        <w:t xml:space="preserve">., </w:t>
      </w:r>
      <w:proofErr w:type="spellStart"/>
      <w:r w:rsidR="00AC14D3">
        <w:t>neck</w:t>
      </w:r>
      <w:proofErr w:type="spellEnd"/>
      <w:r w:rsidR="00AC14D3">
        <w:t xml:space="preserve">, </w:t>
      </w:r>
      <w:proofErr w:type="spellStart"/>
      <w:r w:rsidR="00AC14D3">
        <w:t>trunk</w:t>
      </w:r>
      <w:proofErr w:type="spellEnd"/>
      <w:r w:rsidR="00AC14D3">
        <w:t xml:space="preserve">, </w:t>
      </w:r>
      <w:proofErr w:type="spellStart"/>
      <w:r w:rsidR="00AC14D3">
        <w:t>lower</w:t>
      </w:r>
      <w:proofErr w:type="spellEnd"/>
      <w:r w:rsidR="00AC14D3">
        <w:t xml:space="preserve"> </w:t>
      </w:r>
      <w:proofErr w:type="spellStart"/>
      <w:r w:rsidR="00AC14D3">
        <w:t>arm</w:t>
      </w:r>
      <w:proofErr w:type="spellEnd"/>
      <w:r w:rsidR="00AC14D3">
        <w:t xml:space="preserve">, </w:t>
      </w:r>
      <w:proofErr w:type="spellStart"/>
      <w:r w:rsidR="00AC14D3">
        <w:t>upper</w:t>
      </w:r>
      <w:proofErr w:type="spellEnd"/>
      <w:r w:rsidR="00AC14D3">
        <w:t xml:space="preserve"> </w:t>
      </w:r>
      <w:proofErr w:type="spellStart"/>
      <w:r w:rsidR="00AC14D3">
        <w:t>arm</w:t>
      </w:r>
      <w:proofErr w:type="spellEnd"/>
      <w:r w:rsidR="00AC14D3">
        <w:t xml:space="preserve">, </w:t>
      </w:r>
      <w:proofErr w:type="spellStart"/>
      <w:r w:rsidR="00AC14D3">
        <w:t>wrist</w:t>
      </w:r>
      <w:proofErr w:type="spellEnd"/>
      <w:r w:rsidR="00AC14D3">
        <w:t xml:space="preserve">, and leg) </w:t>
      </w:r>
      <w:proofErr w:type="spellStart"/>
      <w:r w:rsidR="00AC14D3">
        <w:t>separately</w:t>
      </w:r>
      <w:proofErr w:type="spellEnd"/>
      <w:r w:rsidR="00AC14D3">
        <w:t>.</w:t>
      </w:r>
      <w:r w:rsidR="00AC14D3" w:rsidRPr="00AC14D3">
        <w:t xml:space="preserve"> </w:t>
      </w:r>
    </w:p>
    <w:p w14:paraId="48EB380D" w14:textId="0913BCFB" w:rsidR="00D073B7" w:rsidRDefault="00AC14D3" w:rsidP="004148A0">
      <w:pPr>
        <w:ind w:firstLine="284"/>
        <w:jc w:val="both"/>
      </w:pPr>
      <w:proofErr w:type="spellStart"/>
      <w:r>
        <w:t>Furthermore</w:t>
      </w:r>
      <w:proofErr w:type="spellEnd"/>
      <w:r>
        <w:t xml:space="preserve">,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of RULA, </w:t>
      </w:r>
      <w:proofErr w:type="spellStart"/>
      <w:r>
        <w:t>points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add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posture</w:t>
      </w:r>
      <w:proofErr w:type="spellEnd"/>
      <w:r>
        <w:t xml:space="preserve"> </w:t>
      </w:r>
      <w:proofErr w:type="spellStart"/>
      <w:r>
        <w:t>score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or more body </w:t>
      </w:r>
      <w:proofErr w:type="spellStart"/>
      <w:r>
        <w:t>parts</w:t>
      </w:r>
      <w:proofErr w:type="spellEnd"/>
      <w:r>
        <w:t xml:space="preserve"> are </w:t>
      </w:r>
      <w:proofErr w:type="spellStart"/>
      <w:r>
        <w:t>held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longer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1 </w:t>
      </w:r>
      <w:proofErr w:type="spellStart"/>
      <w:r>
        <w:t>minute</w:t>
      </w:r>
      <w:proofErr w:type="spellEnd"/>
      <w:r>
        <w:t xml:space="preserve">, and </w:t>
      </w:r>
      <w:proofErr w:type="spellStart"/>
      <w:r>
        <w:t>an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more point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added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frequency</w:t>
      </w:r>
      <w:proofErr w:type="spellEnd"/>
      <w:r>
        <w:t xml:space="preserve"> of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more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times</w:t>
      </w:r>
      <w:proofErr w:type="spellEnd"/>
      <w:r>
        <w:t xml:space="preserve"> per </w:t>
      </w:r>
      <w:proofErr w:type="spellStart"/>
      <w:r>
        <w:t>minute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criteria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calculating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risk </w:t>
      </w:r>
      <w:proofErr w:type="spellStart"/>
      <w:r>
        <w:t>regardless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posture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experiences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.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previous</w:t>
      </w:r>
      <w:proofErr w:type="spellEnd"/>
      <w:r>
        <w:t xml:space="preserve"> study by </w:t>
      </w:r>
      <w:proofErr w:type="spellStart"/>
      <w:r>
        <w:t>Kong</w:t>
      </w:r>
      <w:proofErr w:type="spellEnd"/>
      <w:r>
        <w:t xml:space="preserve"> et al.,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difficulty</w:t>
      </w:r>
      <w:proofErr w:type="spellEnd"/>
      <w:r>
        <w:t xml:space="preserve"> level of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posture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experiencing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(</w:t>
      </w:r>
      <w:proofErr w:type="spellStart"/>
      <w:r>
        <w:t>i.e</w:t>
      </w:r>
      <w:proofErr w:type="spellEnd"/>
      <w:r>
        <w:t xml:space="preserve">., </w:t>
      </w:r>
      <w:proofErr w:type="spellStart"/>
      <w:r>
        <w:t>static</w:t>
      </w:r>
      <w:proofErr w:type="spellEnd"/>
      <w:r>
        <w:t xml:space="preserve"> </w:t>
      </w:r>
      <w:proofErr w:type="spellStart"/>
      <w:r>
        <w:t>workload</w:t>
      </w:r>
      <w:proofErr w:type="spellEnd"/>
      <w:r>
        <w:t xml:space="preserve">, </w:t>
      </w:r>
      <w:proofErr w:type="spellStart"/>
      <w:r>
        <w:t>repetitive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 xml:space="preserve">) are </w:t>
      </w:r>
      <w:proofErr w:type="spellStart"/>
      <w:r>
        <w:t>different</w:t>
      </w:r>
      <w:proofErr w:type="spellEnd"/>
      <w:r>
        <w:t xml:space="preserve">. </w:t>
      </w:r>
      <w:proofErr w:type="spellStart"/>
      <w:r>
        <w:t>Therefore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point </w:t>
      </w:r>
      <w:proofErr w:type="spellStart"/>
      <w:r>
        <w:t>might</w:t>
      </w:r>
      <w:proofErr w:type="spellEnd"/>
      <w:r>
        <w:t xml:space="preserve"> </w:t>
      </w:r>
      <w:proofErr w:type="spellStart"/>
      <w:r>
        <w:t>overestimate</w:t>
      </w:r>
      <w:proofErr w:type="spellEnd"/>
      <w:r>
        <w:t xml:space="preserve"> or </w:t>
      </w:r>
      <w:proofErr w:type="spellStart"/>
      <w:r>
        <w:t>underestimate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risk level [13].</w:t>
      </w:r>
    </w:p>
    <w:p w14:paraId="02D237AC" w14:textId="77777777" w:rsidR="00C62B70" w:rsidRDefault="00C62B70" w:rsidP="004148A0">
      <w:pPr>
        <w:ind w:firstLine="284"/>
        <w:jc w:val="both"/>
      </w:pPr>
    </w:p>
    <w:p w14:paraId="55AE7901" w14:textId="77777777" w:rsidR="00C62B70" w:rsidRDefault="00C62B70" w:rsidP="004148A0">
      <w:pPr>
        <w:ind w:firstLine="284"/>
        <w:jc w:val="both"/>
      </w:pPr>
    </w:p>
    <w:p w14:paraId="21650C0F" w14:textId="77777777" w:rsidR="00C62B70" w:rsidRDefault="00264603" w:rsidP="00C62B70">
      <w:pPr>
        <w:jc w:val="both"/>
      </w:pPr>
      <w:r>
        <w:rPr>
          <w:b/>
          <w:sz w:val="24"/>
          <w:szCs w:val="24"/>
        </w:rPr>
        <w:t xml:space="preserve">4 </w:t>
      </w:r>
      <w:proofErr w:type="spellStart"/>
      <w:r>
        <w:rPr>
          <w:b/>
          <w:sz w:val="24"/>
          <w:szCs w:val="24"/>
        </w:rPr>
        <w:t>Conclusion</w:t>
      </w:r>
      <w:proofErr w:type="spellEnd"/>
    </w:p>
    <w:p w14:paraId="3C8C6D1F" w14:textId="77777777" w:rsidR="00D073B7" w:rsidRDefault="00D073B7" w:rsidP="00563025">
      <w:pPr>
        <w:ind w:firstLine="270"/>
        <w:jc w:val="both"/>
      </w:pPr>
    </w:p>
    <w:p w14:paraId="724317A6" w14:textId="77777777" w:rsidR="00C62B70" w:rsidRDefault="00264603" w:rsidP="00C62B70">
      <w:pPr>
        <w:pStyle w:val="Paragraph"/>
      </w:pPr>
      <w:r>
        <w:t xml:space="preserve">In summary, based on all analyses (Hit rate, Quadratic Weight Kappa, and t-test analysis), the risk assessment using AULA in oyster mushroom farms was relatively well-matched to the expert subjective assessment other than RULA. Thus, this finding </w:t>
      </w:r>
      <w:r w:rsidRPr="00547D27">
        <w:t>concluded</w:t>
      </w:r>
      <w:r w:rsidRPr="00547D27">
        <w:t xml:space="preserve"> that </w:t>
      </w:r>
      <w:r>
        <w:t xml:space="preserve">the AULA </w:t>
      </w:r>
      <w:r w:rsidRPr="00547D27">
        <w:lastRenderedPageBreak/>
        <w:t xml:space="preserve">method would be an appropriate tool to evaluate the MSD risk of oyster mushroom farmers in </w:t>
      </w:r>
      <w:proofErr w:type="spellStart"/>
      <w:r w:rsidRPr="00547D27">
        <w:t>Samarinda</w:t>
      </w:r>
      <w:proofErr w:type="spellEnd"/>
      <w:r w:rsidRPr="00547D27">
        <w:t>.</w:t>
      </w:r>
      <w:r>
        <w:t xml:space="preserve"> </w:t>
      </w:r>
    </w:p>
    <w:p w14:paraId="12EF2FE5" w14:textId="43615C03" w:rsidR="00C62B70" w:rsidRPr="00DC4708" w:rsidRDefault="00264603" w:rsidP="00C62B70">
      <w:pPr>
        <w:pStyle w:val="Paragraph"/>
      </w:pPr>
      <w:r w:rsidRPr="00581269">
        <w:t xml:space="preserve">The limitation of this </w:t>
      </w:r>
      <w:r>
        <w:t>research</w:t>
      </w:r>
      <w:r w:rsidRPr="00581269">
        <w:t xml:space="preserve"> is that the assessment tool used in the comparison is limited to RULA. Future studies could use a wider va</w:t>
      </w:r>
      <w:r w:rsidRPr="00581269">
        <w:t xml:space="preserve">riety of ergonomic assessment tools to compare work postures </w:t>
      </w:r>
      <w:r>
        <w:t xml:space="preserve">in agricultural work, specifically for </w:t>
      </w:r>
      <w:r w:rsidR="0001555F">
        <w:t>upper and lower extremity posture</w:t>
      </w:r>
      <w:r>
        <w:t xml:space="preserve">, </w:t>
      </w:r>
      <w:r w:rsidRPr="00666AB7">
        <w:t xml:space="preserve">and verify which </w:t>
      </w:r>
      <w:r>
        <w:t>assessment tools</w:t>
      </w:r>
      <w:r w:rsidRPr="00666AB7">
        <w:t xml:space="preserve"> are most suitable for more specific </w:t>
      </w:r>
      <w:r w:rsidR="00831027">
        <w:t>pastoral</w:t>
      </w:r>
      <w:r w:rsidRPr="00666AB7">
        <w:t xml:space="preserve"> </w:t>
      </w:r>
      <w:r>
        <w:t>work.</w:t>
      </w:r>
    </w:p>
    <w:p w14:paraId="7D0D2FF1" w14:textId="77777777" w:rsidR="00D073B7" w:rsidRDefault="00D073B7" w:rsidP="00563025">
      <w:pPr>
        <w:ind w:firstLine="270"/>
        <w:jc w:val="both"/>
      </w:pPr>
    </w:p>
    <w:p w14:paraId="7DF522E3" w14:textId="77777777" w:rsidR="00C1046C" w:rsidRDefault="00264603">
      <w:pPr>
        <w:tabs>
          <w:tab w:val="left" w:pos="1361"/>
          <w:tab w:val="left" w:pos="1531"/>
          <w:tab w:val="left" w:pos="1701"/>
          <w:tab w:val="left" w:pos="1871"/>
          <w:tab w:val="left" w:pos="2041"/>
          <w:tab w:val="left" w:pos="2211"/>
          <w:tab w:val="left" w:pos="2381"/>
          <w:tab w:val="left" w:pos="2552"/>
        </w:tabs>
        <w:spacing w:before="120" w:after="120"/>
      </w:pPr>
      <w:proofErr w:type="spellStart"/>
      <w:r>
        <w:rPr>
          <w:b/>
          <w:sz w:val="24"/>
          <w:szCs w:val="24"/>
        </w:rPr>
        <w:t>References</w:t>
      </w:r>
      <w:proofErr w:type="spellEnd"/>
    </w:p>
    <w:p w14:paraId="404865DC" w14:textId="247137F6" w:rsidR="00624DB7" w:rsidRPr="00624DB7" w:rsidRDefault="00264603" w:rsidP="00B23F8F">
      <w:pPr>
        <w:pStyle w:val="ICST-References"/>
        <w:ind w:left="720" w:hanging="360"/>
      </w:pPr>
      <w:r w:rsidRPr="00624DB7">
        <w:t xml:space="preserve">Badan Pusat </w:t>
      </w:r>
      <w:proofErr w:type="spellStart"/>
      <w:r w:rsidRPr="00624DB7">
        <w:t>Statistik</w:t>
      </w:r>
      <w:proofErr w:type="spellEnd"/>
      <w:r w:rsidRPr="00624DB7">
        <w:t xml:space="preserve"> </w:t>
      </w:r>
      <w:proofErr w:type="spellStart"/>
      <w:r w:rsidRPr="00624DB7">
        <w:t>Kaltim</w:t>
      </w:r>
      <w:proofErr w:type="spellEnd"/>
      <w:r w:rsidR="00886DF1">
        <w:t xml:space="preserve">. </w:t>
      </w:r>
      <w:proofErr w:type="spellStart"/>
      <w:r w:rsidRPr="00624DB7">
        <w:t>Statistik</w:t>
      </w:r>
      <w:proofErr w:type="spellEnd"/>
      <w:r w:rsidRPr="00624DB7">
        <w:t xml:space="preserve"> Nilai </w:t>
      </w:r>
      <w:proofErr w:type="spellStart"/>
      <w:r w:rsidRPr="00624DB7">
        <w:t>Tukar</w:t>
      </w:r>
      <w:proofErr w:type="spellEnd"/>
      <w:r w:rsidRPr="00624DB7">
        <w:t xml:space="preserve"> </w:t>
      </w:r>
      <w:proofErr w:type="spellStart"/>
      <w:r w:rsidRPr="00624DB7">
        <w:t>Petani</w:t>
      </w:r>
      <w:proofErr w:type="spellEnd"/>
      <w:r w:rsidRPr="00624DB7">
        <w:t xml:space="preserve"> </w:t>
      </w:r>
      <w:proofErr w:type="spellStart"/>
      <w:r w:rsidRPr="00624DB7">
        <w:t>Provinsi</w:t>
      </w:r>
      <w:proofErr w:type="spellEnd"/>
      <w:r w:rsidRPr="00624DB7">
        <w:t xml:space="preserve"> Kalimantan Timur</w:t>
      </w:r>
      <w:r w:rsidR="00886DF1">
        <w:t xml:space="preserve"> 2019. Kalimantan Timur</w:t>
      </w:r>
      <w:r w:rsidR="003B5154">
        <w:t xml:space="preserve">. </w:t>
      </w:r>
      <w:r w:rsidRPr="00624DB7">
        <w:t>2020</w:t>
      </w:r>
      <w:r w:rsidR="003B5154">
        <w:t>.</w:t>
      </w:r>
    </w:p>
    <w:p w14:paraId="34788B74" w14:textId="5A1328A0" w:rsidR="00624DB7" w:rsidRPr="00624DB7" w:rsidRDefault="00264603" w:rsidP="00B23F8F">
      <w:pPr>
        <w:pStyle w:val="ICST-References"/>
        <w:ind w:left="720" w:hanging="360"/>
      </w:pPr>
      <w:r w:rsidRPr="00624DB7">
        <w:t xml:space="preserve">Badan Pusat </w:t>
      </w:r>
      <w:proofErr w:type="spellStart"/>
      <w:r w:rsidRPr="00624DB7">
        <w:t>Statistik</w:t>
      </w:r>
      <w:proofErr w:type="spellEnd"/>
      <w:r w:rsidRPr="00624DB7">
        <w:t xml:space="preserve"> </w:t>
      </w:r>
      <w:proofErr w:type="spellStart"/>
      <w:r w:rsidRPr="00624DB7">
        <w:t>Kaltim</w:t>
      </w:r>
      <w:proofErr w:type="spellEnd"/>
      <w:r w:rsidR="00886DF1">
        <w:t xml:space="preserve">. </w:t>
      </w:r>
      <w:proofErr w:type="spellStart"/>
      <w:r w:rsidRPr="00624DB7">
        <w:t>Produk</w:t>
      </w:r>
      <w:proofErr w:type="spellEnd"/>
      <w:r w:rsidRPr="00624DB7">
        <w:t xml:space="preserve"> </w:t>
      </w:r>
      <w:proofErr w:type="spellStart"/>
      <w:r w:rsidRPr="00624DB7">
        <w:t>Domestik</w:t>
      </w:r>
      <w:proofErr w:type="spellEnd"/>
      <w:r w:rsidRPr="00624DB7">
        <w:t xml:space="preserve"> Regional </w:t>
      </w:r>
      <w:proofErr w:type="spellStart"/>
      <w:r w:rsidRPr="00624DB7">
        <w:t>Bruto</w:t>
      </w:r>
      <w:proofErr w:type="spellEnd"/>
      <w:r w:rsidRPr="00624DB7">
        <w:t xml:space="preserve"> </w:t>
      </w:r>
      <w:proofErr w:type="spellStart"/>
      <w:r w:rsidRPr="00624DB7">
        <w:t>Provinsi</w:t>
      </w:r>
      <w:proofErr w:type="spellEnd"/>
      <w:r w:rsidRPr="00624DB7">
        <w:t xml:space="preserve"> </w:t>
      </w:r>
      <w:r w:rsidR="003B5154">
        <w:t>Kalimantan Timur</w:t>
      </w:r>
      <w:r w:rsidRPr="00624DB7">
        <w:t xml:space="preserve"> </w:t>
      </w:r>
      <w:proofErr w:type="spellStart"/>
      <w:r w:rsidRPr="00624DB7">
        <w:t>Berdasarkan</w:t>
      </w:r>
      <w:proofErr w:type="spellEnd"/>
      <w:r w:rsidRPr="00624DB7">
        <w:t xml:space="preserve"> </w:t>
      </w:r>
      <w:proofErr w:type="spellStart"/>
      <w:r w:rsidRPr="00624DB7">
        <w:t>Lapangan</w:t>
      </w:r>
      <w:proofErr w:type="spellEnd"/>
      <w:r w:rsidRPr="00624DB7">
        <w:t xml:space="preserve"> Usaha 2015-2019</w:t>
      </w:r>
      <w:r w:rsidR="003B5154">
        <w:t xml:space="preserve">. </w:t>
      </w:r>
      <w:r w:rsidR="00886DF1">
        <w:t xml:space="preserve">Kalimantan Timur. </w:t>
      </w:r>
      <w:r w:rsidRPr="00624DB7">
        <w:t>2020</w:t>
      </w:r>
      <w:r w:rsidRPr="00624DB7">
        <w:t>.</w:t>
      </w:r>
    </w:p>
    <w:p w14:paraId="0F8AB583" w14:textId="5DD51394" w:rsidR="00624DB7" w:rsidRPr="00624DB7" w:rsidRDefault="00264603" w:rsidP="00B23F8F">
      <w:pPr>
        <w:pStyle w:val="ICST-References"/>
        <w:ind w:left="720" w:hanging="360"/>
      </w:pPr>
      <w:proofErr w:type="spellStart"/>
      <w:r w:rsidRPr="00624DB7">
        <w:t>Dianat</w:t>
      </w:r>
      <w:proofErr w:type="spellEnd"/>
      <w:r w:rsidR="00D5203A">
        <w:t xml:space="preserve"> I.</w:t>
      </w:r>
      <w:r w:rsidRPr="00624DB7">
        <w:t>,</w:t>
      </w:r>
      <w:r w:rsidRPr="00624DB7">
        <w:t xml:space="preserve"> </w:t>
      </w:r>
      <w:proofErr w:type="spellStart"/>
      <w:r w:rsidRPr="00624DB7">
        <w:t>Afshari</w:t>
      </w:r>
      <w:proofErr w:type="spellEnd"/>
      <w:r w:rsidR="00D5203A">
        <w:t xml:space="preserve"> D.</w:t>
      </w:r>
      <w:r w:rsidRPr="00624DB7">
        <w:t xml:space="preserve">, </w:t>
      </w:r>
      <w:proofErr w:type="spellStart"/>
      <w:r w:rsidRPr="00624DB7">
        <w:t>Sarmasti</w:t>
      </w:r>
      <w:proofErr w:type="spellEnd"/>
      <w:r w:rsidR="00D5203A">
        <w:t xml:space="preserve"> N.</w:t>
      </w:r>
      <w:r w:rsidRPr="00624DB7">
        <w:t>,</w:t>
      </w:r>
      <w:r w:rsidR="00D5203A">
        <w:t xml:space="preserve"> </w:t>
      </w:r>
      <w:proofErr w:type="spellStart"/>
      <w:r w:rsidRPr="00624DB7">
        <w:t>Sangdeh</w:t>
      </w:r>
      <w:proofErr w:type="spellEnd"/>
      <w:r w:rsidR="00D5203A">
        <w:t xml:space="preserve"> M.S.</w:t>
      </w:r>
      <w:r w:rsidRPr="00624DB7">
        <w:t>, and</w:t>
      </w:r>
      <w:r w:rsidR="00D5203A">
        <w:t xml:space="preserve"> </w:t>
      </w:r>
      <w:proofErr w:type="spellStart"/>
      <w:r w:rsidRPr="00624DB7">
        <w:t>Azaddel</w:t>
      </w:r>
      <w:proofErr w:type="spellEnd"/>
      <w:r w:rsidR="00D5203A">
        <w:t xml:space="preserve"> R</w:t>
      </w:r>
      <w:r w:rsidR="00D2071F">
        <w:t>.</w:t>
      </w:r>
      <w:r w:rsidRPr="00624DB7">
        <w:t xml:space="preserve"> Work Posture, Working Conditions, Musculoskeletal Outcomes in Agricultural Worker. International Journal of Industrial Ergonomics</w:t>
      </w:r>
      <w:r w:rsidR="00D2071F">
        <w:t>.</w:t>
      </w:r>
      <w:r w:rsidR="003B5154">
        <w:t xml:space="preserve"> </w:t>
      </w:r>
      <w:r w:rsidR="00D2071F" w:rsidRPr="00624DB7">
        <w:t>202</w:t>
      </w:r>
      <w:r w:rsidR="00D2071F">
        <w:t>0</w:t>
      </w:r>
      <w:r w:rsidR="002B3817">
        <w:t xml:space="preserve">; </w:t>
      </w:r>
      <w:r w:rsidRPr="00624DB7">
        <w:t>77</w:t>
      </w:r>
      <w:r w:rsidR="003B5154">
        <w:t>.</w:t>
      </w:r>
    </w:p>
    <w:p w14:paraId="57622A4C" w14:textId="525CF1E7" w:rsidR="00624DB7" w:rsidRPr="00624DB7" w:rsidRDefault="00264603" w:rsidP="00B23F8F">
      <w:pPr>
        <w:pStyle w:val="ICST-References"/>
        <w:ind w:left="720" w:hanging="360"/>
      </w:pPr>
      <w:proofErr w:type="spellStart"/>
      <w:r w:rsidRPr="00624DB7">
        <w:t>McAtamney</w:t>
      </w:r>
      <w:proofErr w:type="spellEnd"/>
      <w:r w:rsidR="00D5203A">
        <w:t xml:space="preserve"> L.</w:t>
      </w:r>
      <w:r w:rsidRPr="00624DB7">
        <w:t xml:space="preserve"> and </w:t>
      </w:r>
      <w:r w:rsidRPr="00624DB7">
        <w:t>Corlett</w:t>
      </w:r>
      <w:r w:rsidR="00D5203A">
        <w:t xml:space="preserve"> E.N</w:t>
      </w:r>
      <w:r w:rsidR="00D2071F">
        <w:t>.</w:t>
      </w:r>
      <w:r w:rsidRPr="00624DB7">
        <w:t xml:space="preserve"> RULA: A Survey Method for The Investigation of Work-Related Upper Li</w:t>
      </w:r>
      <w:r w:rsidRPr="00624DB7">
        <w:t>mb Disorders</w:t>
      </w:r>
      <w:r w:rsidR="00D2071F">
        <w:t xml:space="preserve">. </w:t>
      </w:r>
      <w:r w:rsidR="00D2071F" w:rsidRPr="00624DB7">
        <w:t>Applied Ergonomics</w:t>
      </w:r>
      <w:r w:rsidR="00D2071F">
        <w:t>.</w:t>
      </w:r>
      <w:r w:rsidR="00D2071F" w:rsidRPr="00624DB7">
        <w:t xml:space="preserve"> </w:t>
      </w:r>
      <w:r w:rsidR="00D2071F">
        <w:t xml:space="preserve">1993; </w:t>
      </w:r>
      <w:r w:rsidRPr="00624DB7">
        <w:t>24(2)</w:t>
      </w:r>
      <w:r w:rsidR="00D2071F">
        <w:t>:</w:t>
      </w:r>
      <w:r w:rsidRPr="00624DB7">
        <w:t>91-99</w:t>
      </w:r>
      <w:r w:rsidR="003B5154">
        <w:t>.</w:t>
      </w:r>
    </w:p>
    <w:p w14:paraId="6BFD78ED" w14:textId="0B45C58E" w:rsidR="00624DB7" w:rsidRPr="00624DB7" w:rsidRDefault="00264603" w:rsidP="00B23F8F">
      <w:pPr>
        <w:pStyle w:val="ICST-References"/>
        <w:ind w:left="720" w:hanging="360"/>
      </w:pPr>
      <w:r w:rsidRPr="00624DB7">
        <w:t>Jain</w:t>
      </w:r>
      <w:r w:rsidR="00D5203A">
        <w:t xml:space="preserve"> R.</w:t>
      </w:r>
      <w:r w:rsidRPr="00624DB7">
        <w:t xml:space="preserve">, </w:t>
      </w:r>
      <w:r w:rsidRPr="00624DB7">
        <w:t>Meena</w:t>
      </w:r>
      <w:r w:rsidR="00D5203A">
        <w:t xml:space="preserve"> M.L.</w:t>
      </w:r>
      <w:r w:rsidRPr="00624DB7">
        <w:t xml:space="preserve">, </w:t>
      </w:r>
      <w:proofErr w:type="spellStart"/>
      <w:r w:rsidRPr="00624DB7">
        <w:t>Dangayach</w:t>
      </w:r>
      <w:proofErr w:type="spellEnd"/>
      <w:r w:rsidR="00D5203A">
        <w:t xml:space="preserve"> G.S.</w:t>
      </w:r>
      <w:r w:rsidRPr="00624DB7">
        <w:t xml:space="preserve">, </w:t>
      </w:r>
      <w:r w:rsidRPr="00624DB7">
        <w:t>Bhardwaj</w:t>
      </w:r>
      <w:r w:rsidR="00D5203A">
        <w:t xml:space="preserve"> A.K</w:t>
      </w:r>
      <w:r w:rsidR="00D2071F">
        <w:t>.</w:t>
      </w:r>
      <w:r w:rsidRPr="00624DB7">
        <w:t xml:space="preserve"> Risk Factors for Musculoskeletal Disorders in Manual Harvesting Farmers of Rajasthan</w:t>
      </w:r>
      <w:r w:rsidR="00D2071F">
        <w:t>.</w:t>
      </w:r>
      <w:r w:rsidRPr="00624DB7">
        <w:t xml:space="preserve"> Industrial Health</w:t>
      </w:r>
      <w:r w:rsidR="00D2071F">
        <w:t>. 2018;</w:t>
      </w:r>
      <w:r w:rsidRPr="00624DB7">
        <w:t xml:space="preserve"> 5</w:t>
      </w:r>
      <w:r w:rsidR="00FB56EF">
        <w:t>6(3)</w:t>
      </w:r>
      <w:r w:rsidR="00D2071F">
        <w:t>:</w:t>
      </w:r>
      <w:r w:rsidRPr="00624DB7">
        <w:t>241-248.</w:t>
      </w:r>
    </w:p>
    <w:p w14:paraId="76151BB3" w14:textId="2DDFC977" w:rsidR="00624DB7" w:rsidRPr="00624DB7" w:rsidRDefault="00264603" w:rsidP="00B23F8F">
      <w:pPr>
        <w:pStyle w:val="ICST-References"/>
        <w:ind w:left="720" w:hanging="360"/>
      </w:pPr>
      <w:r w:rsidRPr="00624DB7">
        <w:t>Kumar</w:t>
      </w:r>
      <w:r w:rsidRPr="00624DB7">
        <w:t xml:space="preserve"> P., Chakrabarti</w:t>
      </w:r>
      <w:r w:rsidRPr="00624DB7">
        <w:t xml:space="preserve"> D</w:t>
      </w:r>
      <w:r w:rsidRPr="00624DB7">
        <w:t xml:space="preserve">., </w:t>
      </w:r>
      <w:proofErr w:type="spellStart"/>
      <w:r w:rsidRPr="00624DB7">
        <w:t>Thaneswer</w:t>
      </w:r>
      <w:proofErr w:type="spellEnd"/>
      <w:r w:rsidR="00FB56EF">
        <w:t xml:space="preserve"> P.</w:t>
      </w:r>
      <w:r w:rsidRPr="00624DB7">
        <w:t xml:space="preserve">, </w:t>
      </w:r>
      <w:r w:rsidR="00FB56EF">
        <w:t>Chowdhury</w:t>
      </w:r>
      <w:r w:rsidR="00D5203A">
        <w:t xml:space="preserve"> </w:t>
      </w:r>
      <w:r w:rsidRPr="00624DB7">
        <w:t xml:space="preserve">A. Work-Related Pains Among </w:t>
      </w:r>
      <w:r w:rsidR="004668FE">
        <w:t>t</w:t>
      </w:r>
      <w:r w:rsidRPr="00624DB7">
        <w:t>he</w:t>
      </w:r>
      <w:r w:rsidR="004668FE">
        <w:t xml:space="preserve"> </w:t>
      </w:r>
      <w:r w:rsidRPr="00624DB7">
        <w:t xml:space="preserve">Workers Associated </w:t>
      </w:r>
      <w:r w:rsidR="003B5154">
        <w:t>w</w:t>
      </w:r>
      <w:r w:rsidRPr="00624DB7">
        <w:t xml:space="preserve">ith Pineapple Peeling in Small Fruit Processing Units </w:t>
      </w:r>
      <w:r w:rsidR="00D5203A">
        <w:t>o</w:t>
      </w:r>
      <w:r w:rsidRPr="00624DB7">
        <w:t>f North East India</w:t>
      </w:r>
      <w:r w:rsidR="00D2071F">
        <w:t>.</w:t>
      </w:r>
      <w:r w:rsidRPr="00624DB7">
        <w:t xml:space="preserve"> International Journal of Industrial Ergonomics</w:t>
      </w:r>
      <w:r w:rsidR="00D2071F">
        <w:t>.</w:t>
      </w:r>
      <w:r w:rsidR="003B5154">
        <w:t xml:space="preserve"> </w:t>
      </w:r>
      <w:r w:rsidR="00D2071F">
        <w:t>201</w:t>
      </w:r>
      <w:r w:rsidR="00FB56EF">
        <w:t>5</w:t>
      </w:r>
      <w:r w:rsidR="00D2071F">
        <w:t>;</w:t>
      </w:r>
      <w:r w:rsidR="003B5154">
        <w:t xml:space="preserve"> </w:t>
      </w:r>
      <w:r w:rsidRPr="00624DB7">
        <w:t>53</w:t>
      </w:r>
      <w:r w:rsidR="00FB56EF">
        <w:t>:124-129</w:t>
      </w:r>
      <w:r w:rsidRPr="00624DB7">
        <w:t>.</w:t>
      </w:r>
    </w:p>
    <w:p w14:paraId="22D488C2" w14:textId="1D922BF9" w:rsidR="00624DB7" w:rsidRPr="00624DB7" w:rsidRDefault="00264603" w:rsidP="00B23F8F">
      <w:pPr>
        <w:pStyle w:val="ICST-References"/>
        <w:ind w:left="720" w:hanging="360"/>
      </w:pPr>
      <w:proofErr w:type="spellStart"/>
      <w:r w:rsidRPr="00624DB7">
        <w:t>Thetkathuek</w:t>
      </w:r>
      <w:proofErr w:type="spellEnd"/>
      <w:r w:rsidRPr="00624DB7">
        <w:t xml:space="preserve"> A., </w:t>
      </w:r>
      <w:proofErr w:type="spellStart"/>
      <w:r w:rsidRPr="00624DB7">
        <w:t>Meepradit</w:t>
      </w:r>
      <w:proofErr w:type="spellEnd"/>
      <w:r w:rsidRPr="00624DB7">
        <w:t xml:space="preserve"> P., Sa-</w:t>
      </w:r>
      <w:proofErr w:type="spellStart"/>
      <w:r w:rsidR="00D312A4">
        <w:t>N</w:t>
      </w:r>
      <w:r w:rsidRPr="00624DB7">
        <w:t>giamsa</w:t>
      </w:r>
      <w:r w:rsidRPr="00624DB7">
        <w:t>k</w:t>
      </w:r>
      <w:proofErr w:type="spellEnd"/>
      <w:r w:rsidRPr="00624DB7">
        <w:t xml:space="preserve"> T. A Cross-sectional Study of Musculoskeletal Symptoms and Risk Factors in Cambodian Fruit Farm Workers in Eastern Region, Thailand</w:t>
      </w:r>
      <w:r w:rsidR="00D2071F">
        <w:t>.</w:t>
      </w:r>
      <w:r w:rsidRPr="00624DB7">
        <w:t xml:space="preserve"> Safety and Health at Work</w:t>
      </w:r>
      <w:r w:rsidR="00D2071F">
        <w:t xml:space="preserve">. 2018; </w:t>
      </w:r>
      <w:r w:rsidRPr="00624DB7">
        <w:t>9</w:t>
      </w:r>
      <w:r w:rsidR="00D312A4">
        <w:t>(2):192-202</w:t>
      </w:r>
      <w:r w:rsidRPr="00624DB7">
        <w:t>.</w:t>
      </w:r>
    </w:p>
    <w:p w14:paraId="6610B93E" w14:textId="73C8F122" w:rsidR="00624DB7" w:rsidRPr="00624DB7" w:rsidRDefault="00264603" w:rsidP="00B23F8F">
      <w:pPr>
        <w:pStyle w:val="ICST-References"/>
        <w:ind w:left="720" w:hanging="360"/>
      </w:pPr>
      <w:r w:rsidRPr="00624DB7">
        <w:t>Mishra</w:t>
      </w:r>
      <w:r w:rsidRPr="00624DB7">
        <w:t xml:space="preserve"> D.</w:t>
      </w:r>
      <w:r w:rsidR="005370FF">
        <w:t xml:space="preserve"> and</w:t>
      </w:r>
      <w:r w:rsidRPr="00624DB7">
        <w:t xml:space="preserve"> </w:t>
      </w:r>
      <w:proofErr w:type="spellStart"/>
      <w:r w:rsidRPr="00624DB7">
        <w:t>Satapathy</w:t>
      </w:r>
      <w:proofErr w:type="spellEnd"/>
      <w:r w:rsidRPr="00624DB7">
        <w:t xml:space="preserve"> S</w:t>
      </w:r>
      <w:r w:rsidR="005370FF">
        <w:t>.</w:t>
      </w:r>
      <w:r w:rsidRPr="00624DB7">
        <w:t xml:space="preserve"> Ergonomic Risk Assessment of Farmers in Odisha (India)</w:t>
      </w:r>
      <w:r w:rsidR="00D2071F">
        <w:t>.</w:t>
      </w:r>
      <w:r w:rsidRPr="00624DB7">
        <w:t xml:space="preserve"> International Journal System Assurance Engineering Management</w:t>
      </w:r>
      <w:r w:rsidR="00D2071F">
        <w:t xml:space="preserve">. </w:t>
      </w:r>
      <w:r w:rsidRPr="00624DB7">
        <w:t>2019</w:t>
      </w:r>
      <w:r w:rsidR="00D312A4">
        <w:t>; 10(5)</w:t>
      </w:r>
      <w:r w:rsidRPr="00624DB7">
        <w:t>.</w:t>
      </w:r>
    </w:p>
    <w:p w14:paraId="2A9F63B4" w14:textId="328D9535" w:rsidR="00624DB7" w:rsidRDefault="00264603" w:rsidP="00B23F8F">
      <w:pPr>
        <w:pStyle w:val="ICST-References"/>
        <w:ind w:left="720" w:hanging="360"/>
      </w:pPr>
      <w:r w:rsidRPr="00624DB7">
        <w:t>Kong</w:t>
      </w:r>
      <w:r w:rsidR="005370FF">
        <w:t xml:space="preserve"> Y. K.</w:t>
      </w:r>
      <w:r w:rsidRPr="00624DB7">
        <w:t xml:space="preserve">, </w:t>
      </w:r>
      <w:r w:rsidRPr="00624DB7">
        <w:t>L</w:t>
      </w:r>
      <w:r w:rsidRPr="00624DB7">
        <w:t>ee</w:t>
      </w:r>
      <w:r w:rsidR="005370FF">
        <w:t xml:space="preserve"> S. J.</w:t>
      </w:r>
      <w:r w:rsidRPr="00624DB7">
        <w:t xml:space="preserve">, </w:t>
      </w:r>
      <w:r w:rsidRPr="00624DB7">
        <w:t>Lee</w:t>
      </w:r>
      <w:r w:rsidR="005370FF">
        <w:t xml:space="preserve"> K. S.</w:t>
      </w:r>
      <w:r w:rsidRPr="00624DB7">
        <w:t xml:space="preserve">, </w:t>
      </w:r>
      <w:r w:rsidRPr="00624DB7">
        <w:t>Han</w:t>
      </w:r>
      <w:r w:rsidR="005370FF">
        <w:t xml:space="preserve"> J. G.</w:t>
      </w:r>
      <w:r w:rsidRPr="00624DB7">
        <w:t xml:space="preserve">, </w:t>
      </w:r>
      <w:r w:rsidRPr="00624DB7">
        <w:t>Ki</w:t>
      </w:r>
      <w:r w:rsidR="00D2071F">
        <w:t>m</w:t>
      </w:r>
      <w:r w:rsidR="005370FF">
        <w:t xml:space="preserve"> D. M</w:t>
      </w:r>
      <w:r w:rsidR="00D2071F">
        <w:t>.</w:t>
      </w:r>
      <w:r w:rsidRPr="00624DB7">
        <w:t xml:space="preserve"> Development of an Ergonomic Checklist to investigate Work-related Upper Limb Disorders in Farming – AULA: Agricultural Upper-Limb Assessment</w:t>
      </w:r>
      <w:r w:rsidR="00D2071F">
        <w:t>.</w:t>
      </w:r>
      <w:r w:rsidRPr="00624DB7">
        <w:t xml:space="preserve"> Journal of the Ergonomic Society of Kore</w:t>
      </w:r>
      <w:r w:rsidR="00D2071F">
        <w:t xml:space="preserve">a. 2011; </w:t>
      </w:r>
      <w:r w:rsidRPr="00624DB7">
        <w:t>30</w:t>
      </w:r>
      <w:r w:rsidR="00D2071F">
        <w:t>(</w:t>
      </w:r>
      <w:r w:rsidRPr="00624DB7">
        <w:t>4</w:t>
      </w:r>
      <w:r w:rsidR="00D2071F">
        <w:t>)</w:t>
      </w:r>
      <w:r w:rsidR="008E6998">
        <w:t>:481-489</w:t>
      </w:r>
      <w:r w:rsidRPr="00624DB7">
        <w:t>.</w:t>
      </w:r>
    </w:p>
    <w:p w14:paraId="3FC0C49C" w14:textId="2EA4DBC2" w:rsidR="00BF51A5" w:rsidRPr="00624DB7" w:rsidRDefault="00264603" w:rsidP="00B23F8F">
      <w:pPr>
        <w:pStyle w:val="ICST-References"/>
        <w:ind w:left="720" w:hanging="360"/>
      </w:pPr>
      <w:r>
        <w:t>Choi</w:t>
      </w:r>
      <w:r>
        <w:t xml:space="preserve"> K.</w:t>
      </w:r>
      <w:r w:rsidR="008E6998">
        <w:t>H.</w:t>
      </w:r>
      <w:r>
        <w:t>, Kim</w:t>
      </w:r>
      <w:r>
        <w:t xml:space="preserve"> D.</w:t>
      </w:r>
      <w:r w:rsidR="008E6998">
        <w:t>M.</w:t>
      </w:r>
      <w:r>
        <w:t>, C</w:t>
      </w:r>
      <w:r>
        <w:t>ho</w:t>
      </w:r>
      <w:r>
        <w:t xml:space="preserve"> M.</w:t>
      </w:r>
      <w:r w:rsidR="008E6998">
        <w:t>U.</w:t>
      </w:r>
      <w:r>
        <w:t>, Park</w:t>
      </w:r>
      <w:r>
        <w:t xml:space="preserve"> C.</w:t>
      </w:r>
      <w:r w:rsidR="008E6998">
        <w:t>W.</w:t>
      </w:r>
      <w:r>
        <w:t>, Kim</w:t>
      </w:r>
      <w:r>
        <w:t xml:space="preserve"> S.</w:t>
      </w:r>
      <w:r w:rsidR="008E6998">
        <w:t>Y.</w:t>
      </w:r>
      <w:r>
        <w:t>, Kim</w:t>
      </w:r>
      <w:r>
        <w:t xml:space="preserve"> M.</w:t>
      </w:r>
      <w:r w:rsidR="008E6998">
        <w:t>J.</w:t>
      </w:r>
      <w:r>
        <w:t>, Kong</w:t>
      </w:r>
      <w:r>
        <w:t xml:space="preserve"> Y</w:t>
      </w:r>
      <w:r w:rsidR="008E6998">
        <w:t>.K</w:t>
      </w:r>
      <w:r>
        <w:t>. Application of AULA Risk Assessment Tool by Comparison with Other Ergonomic Risk Assessment Tools. International Journal of Environment Research and Public Health. 2020; 17</w:t>
      </w:r>
      <w:r w:rsidR="008E6998">
        <w:t>(18)</w:t>
      </w:r>
      <w:r>
        <w:t>.</w:t>
      </w:r>
    </w:p>
    <w:p w14:paraId="614374CE" w14:textId="2C7B54D0" w:rsidR="00624DB7" w:rsidRPr="00624DB7" w:rsidRDefault="00264603" w:rsidP="00B23F8F">
      <w:pPr>
        <w:pStyle w:val="ICST-References"/>
        <w:ind w:left="720" w:hanging="360"/>
      </w:pPr>
      <w:r w:rsidRPr="00624DB7">
        <w:t>Kong</w:t>
      </w:r>
      <w:r w:rsidR="005370FF">
        <w:t xml:space="preserve"> Y.K.</w:t>
      </w:r>
      <w:r w:rsidRPr="00624DB7">
        <w:t xml:space="preserve">, </w:t>
      </w:r>
      <w:r w:rsidRPr="00624DB7">
        <w:t>Lee</w:t>
      </w:r>
      <w:r w:rsidR="005370FF">
        <w:t xml:space="preserve"> S.Y.</w:t>
      </w:r>
      <w:r w:rsidRPr="00624DB7">
        <w:t xml:space="preserve">, </w:t>
      </w:r>
      <w:r w:rsidRPr="00624DB7">
        <w:t>Lee</w:t>
      </w:r>
      <w:r w:rsidR="005370FF">
        <w:t xml:space="preserve"> K.S.</w:t>
      </w:r>
      <w:r w:rsidRPr="00624DB7">
        <w:t xml:space="preserve">, </w:t>
      </w:r>
      <w:r w:rsidRPr="00624DB7">
        <w:t>Kim</w:t>
      </w:r>
      <w:r w:rsidR="005370FF">
        <w:t xml:space="preserve"> D.M</w:t>
      </w:r>
      <w:r w:rsidR="00D2071F">
        <w:t>.</w:t>
      </w:r>
      <w:r w:rsidRPr="00624DB7">
        <w:t xml:space="preserve"> Comparisons of Ergonomic Evaluation Tools (ALLA, RULA, REBA, and OWAS) for Farm Work</w:t>
      </w:r>
      <w:r w:rsidR="00D2071F">
        <w:t>.</w:t>
      </w:r>
      <w:r w:rsidRPr="00624DB7">
        <w:t xml:space="preserve"> International Journal of Occupational Safety and Ergonomics</w:t>
      </w:r>
      <w:r w:rsidR="00D2071F">
        <w:t>. 2018;</w:t>
      </w:r>
      <w:r w:rsidRPr="00624DB7">
        <w:t xml:space="preserve"> 24</w:t>
      </w:r>
      <w:r w:rsidR="00D2071F">
        <w:t>:</w:t>
      </w:r>
      <w:r w:rsidRPr="00624DB7">
        <w:t>218-223.</w:t>
      </w:r>
    </w:p>
    <w:p w14:paraId="73E4DE65" w14:textId="66B864F4" w:rsidR="002E3707" w:rsidRDefault="00264603" w:rsidP="002E3707">
      <w:pPr>
        <w:pStyle w:val="ICST-References"/>
        <w:ind w:left="720" w:hanging="360"/>
      </w:pPr>
      <w:r w:rsidRPr="00822DB7">
        <w:t>Kong</w:t>
      </w:r>
      <w:r w:rsidR="00775AFF">
        <w:t xml:space="preserve"> Y.K.</w:t>
      </w:r>
      <w:r w:rsidRPr="00822DB7">
        <w:t xml:space="preserve">, </w:t>
      </w:r>
      <w:r w:rsidRPr="00822DB7">
        <w:t>Lee</w:t>
      </w:r>
      <w:r w:rsidR="00775AFF">
        <w:t xml:space="preserve"> S.J.</w:t>
      </w:r>
      <w:r w:rsidRPr="00822DB7">
        <w:t xml:space="preserve">, </w:t>
      </w:r>
      <w:r w:rsidRPr="00822DB7">
        <w:t>Lee</w:t>
      </w:r>
      <w:r w:rsidR="00775AFF">
        <w:t xml:space="preserve"> K.S.</w:t>
      </w:r>
      <w:r w:rsidRPr="00822DB7">
        <w:t xml:space="preserve">, </w:t>
      </w:r>
      <w:r w:rsidRPr="00822DB7">
        <w:t>Kim</w:t>
      </w:r>
      <w:r w:rsidR="00775AFF">
        <w:t xml:space="preserve"> G.R.</w:t>
      </w:r>
      <w:r w:rsidRPr="00822DB7">
        <w:t xml:space="preserve">, </w:t>
      </w:r>
      <w:r w:rsidRPr="00822DB7">
        <w:t>Ki</w:t>
      </w:r>
      <w:r>
        <w:t>m</w:t>
      </w:r>
      <w:r w:rsidR="00775AFF">
        <w:t xml:space="preserve"> D.M</w:t>
      </w:r>
      <w:r>
        <w:t>.</w:t>
      </w:r>
      <w:r w:rsidRPr="00822DB7">
        <w:t xml:space="preserve"> Development of an Ergonomics Checklist for Investigation of Work-Related Whole-Body Disorders in Farming-AWBA: Agricultural Whole-Body Assessment</w:t>
      </w:r>
      <w:r>
        <w:t>.</w:t>
      </w:r>
      <w:r w:rsidRPr="00822DB7">
        <w:t xml:space="preserve"> </w:t>
      </w:r>
      <w:r w:rsidRPr="00720FDA">
        <w:t>Journal of Agricultural Safety and Health</w:t>
      </w:r>
      <w:r>
        <w:t>. 2015;</w:t>
      </w:r>
      <w:r w:rsidRPr="00822DB7">
        <w:t xml:space="preserve"> 21(4)</w:t>
      </w:r>
      <w:r>
        <w:t>:</w:t>
      </w:r>
      <w:r w:rsidRPr="00822DB7">
        <w:t>207-215.</w:t>
      </w:r>
    </w:p>
    <w:p w14:paraId="2E34C78C" w14:textId="64872846" w:rsidR="002E3707" w:rsidRPr="002E3707" w:rsidRDefault="00264603" w:rsidP="002E3707">
      <w:pPr>
        <w:pStyle w:val="ICST-References"/>
        <w:ind w:left="720" w:hanging="360"/>
      </w:pPr>
      <w:r w:rsidRPr="002E3707">
        <w:t>Blackman</w:t>
      </w:r>
      <w:r w:rsidR="00775AFF">
        <w:t xml:space="preserve"> N.J.M.</w:t>
      </w:r>
      <w:r w:rsidRPr="002E3707">
        <w:t xml:space="preserve"> and</w:t>
      </w:r>
      <w:r w:rsidRPr="002E3707">
        <w:t xml:space="preserve"> </w:t>
      </w:r>
      <w:proofErr w:type="spellStart"/>
      <w:r w:rsidRPr="002E3707">
        <w:t>Koval</w:t>
      </w:r>
      <w:proofErr w:type="spellEnd"/>
      <w:r w:rsidR="00775AFF">
        <w:t xml:space="preserve"> J.J.</w:t>
      </w:r>
      <w:r w:rsidRPr="002E3707">
        <w:t xml:space="preserve"> Interv</w:t>
      </w:r>
      <w:r w:rsidRPr="002E3707">
        <w:t>al Estimation for Cohen’s Kappa as A Measure of Agreement</w:t>
      </w:r>
      <w:r w:rsidR="00775AFF">
        <w:t xml:space="preserve">. </w:t>
      </w:r>
      <w:r w:rsidRPr="002E3707">
        <w:t>Stat</w:t>
      </w:r>
      <w:r w:rsidR="00886DF1">
        <w:t>istics in</w:t>
      </w:r>
      <w:r w:rsidRPr="002E3707">
        <w:t xml:space="preserve"> Med</w:t>
      </w:r>
      <w:r w:rsidR="00886DF1">
        <w:t>icine</w:t>
      </w:r>
      <w:r w:rsidRPr="002E3707">
        <w:t>.</w:t>
      </w:r>
      <w:r>
        <w:t xml:space="preserve"> 2000</w:t>
      </w:r>
      <w:r w:rsidR="002B3817">
        <w:t>;</w:t>
      </w:r>
      <w:r w:rsidRPr="002E3707">
        <w:t xml:space="preserve"> 19</w:t>
      </w:r>
      <w:r w:rsidR="002B3817">
        <w:t>(5)</w:t>
      </w:r>
      <w:r>
        <w:t>:</w:t>
      </w:r>
      <w:r w:rsidRPr="002E3707">
        <w:t>723–741.</w:t>
      </w:r>
    </w:p>
    <w:p w14:paraId="39D80D44" w14:textId="77777777" w:rsidR="00C1046C" w:rsidRPr="00624DB7" w:rsidRDefault="00C1046C" w:rsidP="002E3707">
      <w:pPr>
        <w:pStyle w:val="ICST-References"/>
        <w:numPr>
          <w:ilvl w:val="0"/>
          <w:numId w:val="0"/>
        </w:numPr>
      </w:pPr>
    </w:p>
    <w:sectPr w:rsidR="00C1046C" w:rsidRPr="00624DB7">
      <w:headerReference w:type="even" r:id="rId17"/>
      <w:headerReference w:type="default" r:id="rId18"/>
      <w:footerReference w:type="default" r:id="rId19"/>
      <w:headerReference w:type="first" r:id="rId20"/>
      <w:pgSz w:w="11907" w:h="16840"/>
      <w:pgMar w:top="2835" w:right="2155" w:bottom="2835" w:left="2155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A696D" w14:textId="77777777" w:rsidR="00264603" w:rsidRDefault="00264603">
      <w:r>
        <w:separator/>
      </w:r>
    </w:p>
  </w:endnote>
  <w:endnote w:type="continuationSeparator" w:id="0">
    <w:p w14:paraId="6313A0E3" w14:textId="77777777" w:rsidR="00264603" w:rsidRDefault="00264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0138A" w14:textId="77777777" w:rsidR="00C1046C" w:rsidRDefault="00C1046C">
    <w:pPr>
      <w:jc w:val="both"/>
    </w:pPr>
  </w:p>
  <w:p w14:paraId="3DFA58F2" w14:textId="77777777" w:rsidR="00C1046C" w:rsidRDefault="00C1046C">
    <w:pPr>
      <w:jc w:val="both"/>
    </w:pPr>
  </w:p>
  <w:p w14:paraId="4832FE27" w14:textId="77777777" w:rsidR="00C1046C" w:rsidRDefault="00C1046C">
    <w:pPr>
      <w:jc w:val="both"/>
    </w:pPr>
  </w:p>
  <w:p w14:paraId="674CE785" w14:textId="77777777" w:rsidR="00C1046C" w:rsidRDefault="00C1046C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46F99" w14:textId="77777777" w:rsidR="00264603" w:rsidRDefault="00264603">
      <w:r>
        <w:separator/>
      </w:r>
    </w:p>
  </w:footnote>
  <w:footnote w:type="continuationSeparator" w:id="0">
    <w:p w14:paraId="3F3B56EA" w14:textId="77777777" w:rsidR="00264603" w:rsidRDefault="00264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387F7" w14:textId="77777777" w:rsidR="00C5166C" w:rsidRDefault="00C516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67F5E" w14:textId="77777777" w:rsidR="00C5166C" w:rsidRDefault="00C516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7C080" w14:textId="77777777" w:rsidR="00C5166C" w:rsidRDefault="00C51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7256E"/>
    <w:multiLevelType w:val="multilevel"/>
    <w:tmpl w:val="5B96F268"/>
    <w:lvl w:ilvl="0">
      <w:start w:val="1"/>
      <w:numFmt w:val="decimal"/>
      <w:pStyle w:val="ICST-References"/>
      <w:lvlText w:val="[%1]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A471E"/>
    <w:multiLevelType w:val="hybridMultilevel"/>
    <w:tmpl w:val="A15A941A"/>
    <w:lvl w:ilvl="0" w:tplc="803621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5672F6" w:tentative="1">
      <w:start w:val="1"/>
      <w:numFmt w:val="lowerLetter"/>
      <w:lvlText w:val="%2."/>
      <w:lvlJc w:val="left"/>
      <w:pPr>
        <w:ind w:left="1440" w:hanging="360"/>
      </w:pPr>
    </w:lvl>
    <w:lvl w:ilvl="2" w:tplc="A84E2B44" w:tentative="1">
      <w:start w:val="1"/>
      <w:numFmt w:val="lowerRoman"/>
      <w:lvlText w:val="%3."/>
      <w:lvlJc w:val="right"/>
      <w:pPr>
        <w:ind w:left="2160" w:hanging="180"/>
      </w:pPr>
    </w:lvl>
    <w:lvl w:ilvl="3" w:tplc="47F263BC" w:tentative="1">
      <w:start w:val="1"/>
      <w:numFmt w:val="decimal"/>
      <w:lvlText w:val="%4."/>
      <w:lvlJc w:val="left"/>
      <w:pPr>
        <w:ind w:left="2880" w:hanging="360"/>
      </w:pPr>
    </w:lvl>
    <w:lvl w:ilvl="4" w:tplc="8AE89042" w:tentative="1">
      <w:start w:val="1"/>
      <w:numFmt w:val="lowerLetter"/>
      <w:lvlText w:val="%5."/>
      <w:lvlJc w:val="left"/>
      <w:pPr>
        <w:ind w:left="3600" w:hanging="360"/>
      </w:pPr>
    </w:lvl>
    <w:lvl w:ilvl="5" w:tplc="C04A604A" w:tentative="1">
      <w:start w:val="1"/>
      <w:numFmt w:val="lowerRoman"/>
      <w:lvlText w:val="%6."/>
      <w:lvlJc w:val="right"/>
      <w:pPr>
        <w:ind w:left="4320" w:hanging="180"/>
      </w:pPr>
    </w:lvl>
    <w:lvl w:ilvl="6" w:tplc="70888EDE" w:tentative="1">
      <w:start w:val="1"/>
      <w:numFmt w:val="decimal"/>
      <w:lvlText w:val="%7."/>
      <w:lvlJc w:val="left"/>
      <w:pPr>
        <w:ind w:left="5040" w:hanging="360"/>
      </w:pPr>
    </w:lvl>
    <w:lvl w:ilvl="7" w:tplc="74A2EDA4" w:tentative="1">
      <w:start w:val="1"/>
      <w:numFmt w:val="lowerLetter"/>
      <w:lvlText w:val="%8."/>
      <w:lvlJc w:val="left"/>
      <w:pPr>
        <w:ind w:left="5760" w:hanging="360"/>
      </w:pPr>
    </w:lvl>
    <w:lvl w:ilvl="8" w:tplc="324630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17CE3"/>
    <w:multiLevelType w:val="hybridMultilevel"/>
    <w:tmpl w:val="4A342D44"/>
    <w:lvl w:ilvl="0" w:tplc="A9D03EB8">
      <w:start w:val="1"/>
      <w:numFmt w:val="decimal"/>
      <w:pStyle w:val="Reference"/>
      <w:lvlText w:val="%1."/>
      <w:lvlJc w:val="left"/>
      <w:pPr>
        <w:ind w:left="720" w:hanging="360"/>
      </w:pPr>
    </w:lvl>
    <w:lvl w:ilvl="1" w:tplc="65EA42FE" w:tentative="1">
      <w:start w:val="1"/>
      <w:numFmt w:val="lowerLetter"/>
      <w:lvlText w:val="%2."/>
      <w:lvlJc w:val="left"/>
      <w:pPr>
        <w:ind w:left="1440" w:hanging="360"/>
      </w:pPr>
    </w:lvl>
    <w:lvl w:ilvl="2" w:tplc="5D4CC636" w:tentative="1">
      <w:start w:val="1"/>
      <w:numFmt w:val="lowerRoman"/>
      <w:lvlText w:val="%3."/>
      <w:lvlJc w:val="right"/>
      <w:pPr>
        <w:ind w:left="2160" w:hanging="180"/>
      </w:pPr>
    </w:lvl>
    <w:lvl w:ilvl="3" w:tplc="A46C316C" w:tentative="1">
      <w:start w:val="1"/>
      <w:numFmt w:val="decimal"/>
      <w:lvlText w:val="%4."/>
      <w:lvlJc w:val="left"/>
      <w:pPr>
        <w:ind w:left="2880" w:hanging="360"/>
      </w:pPr>
    </w:lvl>
    <w:lvl w:ilvl="4" w:tplc="7A36CBDE" w:tentative="1">
      <w:start w:val="1"/>
      <w:numFmt w:val="lowerLetter"/>
      <w:lvlText w:val="%5."/>
      <w:lvlJc w:val="left"/>
      <w:pPr>
        <w:ind w:left="3600" w:hanging="360"/>
      </w:pPr>
    </w:lvl>
    <w:lvl w:ilvl="5" w:tplc="B38CACD2" w:tentative="1">
      <w:start w:val="1"/>
      <w:numFmt w:val="lowerRoman"/>
      <w:lvlText w:val="%6."/>
      <w:lvlJc w:val="right"/>
      <w:pPr>
        <w:ind w:left="4320" w:hanging="180"/>
      </w:pPr>
    </w:lvl>
    <w:lvl w:ilvl="6" w:tplc="A484FF92" w:tentative="1">
      <w:start w:val="1"/>
      <w:numFmt w:val="decimal"/>
      <w:lvlText w:val="%7."/>
      <w:lvlJc w:val="left"/>
      <w:pPr>
        <w:ind w:left="5040" w:hanging="360"/>
      </w:pPr>
    </w:lvl>
    <w:lvl w:ilvl="7" w:tplc="080ACC62" w:tentative="1">
      <w:start w:val="1"/>
      <w:numFmt w:val="lowerLetter"/>
      <w:lvlText w:val="%8."/>
      <w:lvlJc w:val="left"/>
      <w:pPr>
        <w:ind w:left="5760" w:hanging="360"/>
      </w:pPr>
    </w:lvl>
    <w:lvl w:ilvl="8" w:tplc="516CF12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580896">
    <w:abstractNumId w:val="0"/>
  </w:num>
  <w:num w:numId="2" w16cid:durableId="1511137020">
    <w:abstractNumId w:val="2"/>
  </w:num>
  <w:num w:numId="3" w16cid:durableId="1896508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46C"/>
    <w:rsid w:val="0001555F"/>
    <w:rsid w:val="000235B1"/>
    <w:rsid w:val="00061C42"/>
    <w:rsid w:val="00073980"/>
    <w:rsid w:val="00075EA6"/>
    <w:rsid w:val="00097AA0"/>
    <w:rsid w:val="000C30CE"/>
    <w:rsid w:val="000C31EC"/>
    <w:rsid w:val="001B1026"/>
    <w:rsid w:val="002542EB"/>
    <w:rsid w:val="00264603"/>
    <w:rsid w:val="002878A6"/>
    <w:rsid w:val="002B01DC"/>
    <w:rsid w:val="002B3817"/>
    <w:rsid w:val="002D1133"/>
    <w:rsid w:val="002D572F"/>
    <w:rsid w:val="002E3707"/>
    <w:rsid w:val="002E5D72"/>
    <w:rsid w:val="00336F55"/>
    <w:rsid w:val="003465F6"/>
    <w:rsid w:val="003612E4"/>
    <w:rsid w:val="003B5154"/>
    <w:rsid w:val="003D6D40"/>
    <w:rsid w:val="00407EC0"/>
    <w:rsid w:val="004148A0"/>
    <w:rsid w:val="00433F9F"/>
    <w:rsid w:val="00455DB4"/>
    <w:rsid w:val="004668FE"/>
    <w:rsid w:val="004E78C3"/>
    <w:rsid w:val="0053550F"/>
    <w:rsid w:val="005370FF"/>
    <w:rsid w:val="00542D1C"/>
    <w:rsid w:val="00547D27"/>
    <w:rsid w:val="00553A20"/>
    <w:rsid w:val="00563025"/>
    <w:rsid w:val="00581269"/>
    <w:rsid w:val="005E310E"/>
    <w:rsid w:val="00616ECE"/>
    <w:rsid w:val="00624DB7"/>
    <w:rsid w:val="0064154E"/>
    <w:rsid w:val="0065068A"/>
    <w:rsid w:val="00653550"/>
    <w:rsid w:val="0066135B"/>
    <w:rsid w:val="00666AB7"/>
    <w:rsid w:val="006743EB"/>
    <w:rsid w:val="006B4D97"/>
    <w:rsid w:val="006C6648"/>
    <w:rsid w:val="006F0566"/>
    <w:rsid w:val="006F2F72"/>
    <w:rsid w:val="006F45FE"/>
    <w:rsid w:val="00720FDA"/>
    <w:rsid w:val="00744863"/>
    <w:rsid w:val="00775AFF"/>
    <w:rsid w:val="00796E02"/>
    <w:rsid w:val="007E5ED3"/>
    <w:rsid w:val="007F75BB"/>
    <w:rsid w:val="008162CF"/>
    <w:rsid w:val="00822DB7"/>
    <w:rsid w:val="00827C41"/>
    <w:rsid w:val="00831027"/>
    <w:rsid w:val="00886DF1"/>
    <w:rsid w:val="008A6E42"/>
    <w:rsid w:val="008E6998"/>
    <w:rsid w:val="00943591"/>
    <w:rsid w:val="009D3F63"/>
    <w:rsid w:val="009F7EFD"/>
    <w:rsid w:val="00AC14D3"/>
    <w:rsid w:val="00AD2BDB"/>
    <w:rsid w:val="00B23F8F"/>
    <w:rsid w:val="00B75225"/>
    <w:rsid w:val="00BF4BBD"/>
    <w:rsid w:val="00BF51A5"/>
    <w:rsid w:val="00C1046C"/>
    <w:rsid w:val="00C5166C"/>
    <w:rsid w:val="00C62B70"/>
    <w:rsid w:val="00CC345F"/>
    <w:rsid w:val="00CC4386"/>
    <w:rsid w:val="00CE60C4"/>
    <w:rsid w:val="00D073B7"/>
    <w:rsid w:val="00D2071F"/>
    <w:rsid w:val="00D312A4"/>
    <w:rsid w:val="00D5203A"/>
    <w:rsid w:val="00DC4708"/>
    <w:rsid w:val="00EA20AB"/>
    <w:rsid w:val="00ED391B"/>
    <w:rsid w:val="00EE22D0"/>
    <w:rsid w:val="00F3791E"/>
    <w:rsid w:val="00F77A7C"/>
    <w:rsid w:val="00FA0E6D"/>
    <w:rsid w:val="00FB56EF"/>
    <w:rsid w:val="2F83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3F88B"/>
  <w15:docId w15:val="{2BDDACD9-F813-4909-8F28-B43E030E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name w:val="a0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0F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FC2"/>
    <w:rPr>
      <w:rFonts w:ascii="Tahoma" w:hAnsi="Tahoma" w:cs="Tahoma"/>
      <w:sz w:val="16"/>
      <w:szCs w:val="16"/>
    </w:rPr>
  </w:style>
  <w:style w:type="paragraph" w:customStyle="1" w:styleId="ICST-References">
    <w:name w:val="ICST-References"/>
    <w:qFormat/>
    <w:rsid w:val="00235403"/>
    <w:pPr>
      <w:numPr>
        <w:numId w:val="1"/>
      </w:numPr>
      <w:ind w:left="400" w:hanging="400"/>
      <w:jc w:val="both"/>
    </w:pPr>
    <w:rPr>
      <w:bCs/>
      <w:sz w:val="18"/>
      <w:szCs w:val="18"/>
      <w:lang w:val="en-GB" w:eastAsia="en-GB"/>
    </w:rPr>
  </w:style>
  <w:style w:type="table" w:customStyle="1" w:styleId="a1">
    <w:name w:val="a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PaperTitle">
    <w:name w:val="Paper Title"/>
    <w:basedOn w:val="Normal"/>
    <w:next w:val="Normal"/>
    <w:rsid w:val="009D3F63"/>
    <w:pPr>
      <w:spacing w:before="1200"/>
      <w:jc w:val="center"/>
    </w:pPr>
    <w:rPr>
      <w:b/>
      <w:sz w:val="36"/>
      <w:lang w:val="en-US"/>
    </w:rPr>
  </w:style>
  <w:style w:type="paragraph" w:customStyle="1" w:styleId="AuthorAffiliation">
    <w:name w:val="Author Affiliation"/>
    <w:basedOn w:val="Normal"/>
    <w:rsid w:val="009D3F63"/>
    <w:pPr>
      <w:jc w:val="center"/>
    </w:pPr>
    <w:rPr>
      <w:i/>
      <w:lang w:val="en-US"/>
    </w:rPr>
  </w:style>
  <w:style w:type="character" w:styleId="Hyperlink">
    <w:name w:val="Hyperlink"/>
    <w:rsid w:val="009D3F63"/>
    <w:rPr>
      <w:color w:val="0000FF"/>
      <w:u w:val="single"/>
    </w:rPr>
  </w:style>
  <w:style w:type="paragraph" w:customStyle="1" w:styleId="Abstract">
    <w:name w:val="Abstract"/>
    <w:basedOn w:val="Normal"/>
    <w:next w:val="Heading1"/>
    <w:rsid w:val="009D3F63"/>
    <w:pPr>
      <w:spacing w:before="360" w:after="360"/>
      <w:ind w:left="289" w:right="289"/>
      <w:jc w:val="both"/>
    </w:pPr>
    <w:rPr>
      <w:sz w:val="18"/>
      <w:lang w:val="en-US"/>
    </w:rPr>
  </w:style>
  <w:style w:type="paragraph" w:customStyle="1" w:styleId="Paragraph">
    <w:name w:val="Paragraph"/>
    <w:basedOn w:val="Normal"/>
    <w:rsid w:val="00624DB7"/>
    <w:pPr>
      <w:ind w:firstLine="284"/>
      <w:jc w:val="both"/>
    </w:pPr>
    <w:rPr>
      <w:lang w:val="en-US"/>
    </w:rPr>
  </w:style>
  <w:style w:type="paragraph" w:customStyle="1" w:styleId="Reference">
    <w:name w:val="Reference"/>
    <w:basedOn w:val="Paragraph"/>
    <w:rsid w:val="00624DB7"/>
    <w:pPr>
      <w:numPr>
        <w:numId w:val="2"/>
      </w:numPr>
      <w:ind w:left="426" w:hanging="426"/>
    </w:pPr>
  </w:style>
  <w:style w:type="paragraph" w:styleId="ListParagraph">
    <w:name w:val="List Paragraph"/>
    <w:basedOn w:val="Normal"/>
    <w:uiPriority w:val="34"/>
    <w:rsid w:val="00624DB7"/>
    <w:pPr>
      <w:ind w:left="720"/>
      <w:contextualSpacing/>
    </w:pPr>
    <w:rPr>
      <w:sz w:val="24"/>
      <w:lang w:val="en-US"/>
    </w:rPr>
  </w:style>
  <w:style w:type="table" w:styleId="TableGrid">
    <w:name w:val="Table Grid"/>
    <w:basedOn w:val="TableNormal"/>
    <w:uiPriority w:val="39"/>
    <w:rsid w:val="002E3707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16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66C"/>
  </w:style>
  <w:style w:type="paragraph" w:styleId="Footer">
    <w:name w:val="footer"/>
    <w:basedOn w:val="Normal"/>
    <w:link w:val="FooterChar"/>
    <w:uiPriority w:val="99"/>
    <w:unhideWhenUsed/>
    <w:rsid w:val="00C516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ciapawitra@gmail.com" TargetMode="Externa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mailto:mayestikayuniii@gmail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inadianatif@ft.unmul.ac.id" TargetMode="Externa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3R0lF1JMJPAWt0ggxoy73RO18A==">AMUW2mUDG8l9YfbPySHq6tkP/un6DebW4y6r07fjSsgyWK2ACGD/9Wz8QZ/WRqXdbk8+MEGDhEsQaTeTHax+ywEFGnQ1WgAGQDAtdV4XxNu5CEPoIUV2zH/k4tffCcnKPQGESKjWKZeY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2459</Words>
  <Characters>14021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Microsoft Office User</cp:lastModifiedBy>
  <cp:revision>3</cp:revision>
  <dcterms:created xsi:type="dcterms:W3CDTF">2022-06-08T15:19:00Z</dcterms:created>
  <dcterms:modified xsi:type="dcterms:W3CDTF">2022-06-08T16:46:00Z</dcterms:modified>
</cp:coreProperties>
</file>