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48D39" w14:textId="77777777" w:rsidR="00110D18" w:rsidRPr="00110D18" w:rsidRDefault="00110D18" w:rsidP="00110D18">
      <w:pPr>
        <w:shd w:val="clear" w:color="auto" w:fill="FFFFFF"/>
        <w:spacing w:after="60" w:line="240" w:lineRule="auto"/>
        <w:ind w:right="240"/>
        <w:outlineLvl w:val="2"/>
        <w:rPr>
          <w:rFonts w:ascii="Georgia" w:eastAsia="Times New Roman" w:hAnsi="Georgia" w:cs="Tahoma"/>
          <w:color w:val="000000"/>
          <w:sz w:val="32"/>
          <w:szCs w:val="32"/>
          <w:lang w:val="en-ID" w:eastAsia="en-ID"/>
        </w:rPr>
      </w:pPr>
      <w:r w:rsidRPr="00110D18">
        <w:rPr>
          <w:rFonts w:ascii="Georgia" w:eastAsia="Times New Roman" w:hAnsi="Georgia" w:cs="Tahoma"/>
          <w:color w:val="000000"/>
          <w:sz w:val="32"/>
          <w:szCs w:val="32"/>
          <w:lang w:val="en-ID" w:eastAsia="en-ID"/>
        </w:rPr>
        <w:t>Analisis Perhitungan Harga Pokok Produksi CPO Pada PT Tunas Prima Sejahtera Samarinda</w:t>
      </w:r>
    </w:p>
    <w:p w14:paraId="61EABFC9" w14:textId="77777777" w:rsidR="00110D18" w:rsidRPr="00110D18" w:rsidRDefault="00110D18" w:rsidP="00110D18">
      <w:pPr>
        <w:shd w:val="clear" w:color="auto" w:fill="FFFFFF"/>
        <w:spacing w:after="0" w:line="240" w:lineRule="auto"/>
        <w:rPr>
          <w:rFonts w:ascii="Tahoma" w:eastAsia="Times New Roman" w:hAnsi="Tahoma" w:cs="Tahoma"/>
          <w:color w:val="222222"/>
          <w:sz w:val="18"/>
          <w:szCs w:val="18"/>
          <w:lang w:val="en-ID" w:eastAsia="en-ID"/>
        </w:rPr>
      </w:pPr>
      <w:r w:rsidRPr="00110D18">
        <w:rPr>
          <w:rFonts w:ascii="Tahoma" w:eastAsia="Times New Roman" w:hAnsi="Tahoma" w:cs="Tahoma"/>
          <w:i/>
          <w:iCs/>
          <w:color w:val="222222"/>
          <w:sz w:val="18"/>
          <w:szCs w:val="18"/>
          <w:lang w:val="en-ID" w:eastAsia="en-ID"/>
        </w:rPr>
        <w:t>Nurmita Putri, Yunus Tete Konde, Muhammad Abadan Syakura</w:t>
      </w:r>
    </w:p>
    <w:p w14:paraId="05CC7A6F" w14:textId="77777777" w:rsidR="00110D18" w:rsidRPr="00110D18" w:rsidRDefault="00110D18" w:rsidP="00110D18">
      <w:pPr>
        <w:spacing w:after="0" w:line="240" w:lineRule="auto"/>
        <w:rPr>
          <w:rFonts w:ascii="Times New Roman" w:eastAsia="Times New Roman" w:hAnsi="Times New Roman" w:cs="Times New Roman"/>
          <w:sz w:val="24"/>
          <w:szCs w:val="24"/>
          <w:lang w:val="en-ID" w:eastAsia="en-ID"/>
        </w:rPr>
      </w:pPr>
    </w:p>
    <w:p w14:paraId="1081A3D5" w14:textId="77777777" w:rsidR="00110D18" w:rsidRPr="00110D18" w:rsidRDefault="00110D18" w:rsidP="00110D18">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110D18">
        <w:rPr>
          <w:rFonts w:ascii="Georgia" w:eastAsia="Times New Roman" w:hAnsi="Georgia" w:cs="Tahoma"/>
          <w:color w:val="000000"/>
          <w:sz w:val="27"/>
          <w:szCs w:val="27"/>
          <w:lang w:val="en-ID" w:eastAsia="en-ID"/>
        </w:rPr>
        <w:t>Abstract</w:t>
      </w:r>
    </w:p>
    <w:p w14:paraId="5876DBFF" w14:textId="77777777" w:rsidR="00110D18" w:rsidRPr="00110D18" w:rsidRDefault="00110D18" w:rsidP="00110D18">
      <w:pPr>
        <w:shd w:val="clear" w:color="auto" w:fill="FFFFFF"/>
        <w:spacing w:after="0" w:line="240" w:lineRule="auto"/>
        <w:rPr>
          <w:rFonts w:ascii="Tahoma" w:eastAsia="Times New Roman" w:hAnsi="Tahoma" w:cs="Tahoma"/>
          <w:color w:val="222222"/>
          <w:sz w:val="18"/>
          <w:szCs w:val="18"/>
          <w:lang w:val="en-ID" w:eastAsia="en-ID"/>
        </w:rPr>
      </w:pPr>
    </w:p>
    <w:p w14:paraId="62E2B9A0" w14:textId="77777777" w:rsidR="00110D18" w:rsidRPr="00110D18" w:rsidRDefault="00110D18" w:rsidP="00110D18">
      <w:pPr>
        <w:shd w:val="clear" w:color="auto" w:fill="FFFFFF"/>
        <w:spacing w:before="240" w:after="240" w:line="240" w:lineRule="auto"/>
        <w:rPr>
          <w:rFonts w:ascii="Tahoma" w:eastAsia="Times New Roman" w:hAnsi="Tahoma" w:cs="Tahoma"/>
          <w:color w:val="222222"/>
          <w:sz w:val="18"/>
          <w:szCs w:val="18"/>
          <w:lang w:val="en-ID" w:eastAsia="en-ID"/>
        </w:rPr>
      </w:pPr>
      <w:r w:rsidRPr="00110D18">
        <w:rPr>
          <w:rFonts w:ascii="Tahoma" w:eastAsia="Times New Roman" w:hAnsi="Tahoma" w:cs="Tahoma"/>
          <w:i/>
          <w:iCs/>
          <w:color w:val="222222"/>
          <w:sz w:val="18"/>
          <w:szCs w:val="18"/>
          <w:lang w:val="en-ID" w:eastAsia="en-ID"/>
        </w:rPr>
        <w:t>Nurmita Putri, 2019. Calculation Analyst Cost of CPO Production PT Tunas Prima Sejahtera Samarinda, under supervision of Mr. Yunus Tete Konde, as supervisor I and Mr. Muhammad Abadan Syakura, as supervisor II. This research aims to know how to calculate PT Tunas Prima Sejahteras cost of goods manufactured CPO so that selling of the company price higher than cost of production CPO. This research is using profit report from 2017 of PT Tunas Prima Sejahtera Samarinda. This research is using descriptive quantitative. The data is obtained by interview and documentation directly to the field. Data analysis methods in this study is the analysis of the cost of production by using the method full costing. Based on the analysis of data,it can be concluded that the factor cost of production CPO higher than the selling price of the company is the imposition of direct costs estate and indirect cost. It can be explained that the company in determining the cost of production of fruit own has not been fully effective and efficient.</w:t>
      </w:r>
    </w:p>
    <w:p w14:paraId="2EF80FDC" w14:textId="77777777" w:rsidR="00110D18" w:rsidRPr="00110D18" w:rsidRDefault="00110D18" w:rsidP="00110D18">
      <w:pPr>
        <w:shd w:val="clear" w:color="auto" w:fill="FFFFFF"/>
        <w:spacing w:after="0" w:line="240" w:lineRule="auto"/>
        <w:rPr>
          <w:rFonts w:ascii="Tahoma" w:eastAsia="Times New Roman" w:hAnsi="Tahoma" w:cs="Tahoma"/>
          <w:color w:val="222222"/>
          <w:sz w:val="18"/>
          <w:szCs w:val="18"/>
          <w:lang w:val="en-ID" w:eastAsia="en-ID"/>
        </w:rPr>
      </w:pPr>
    </w:p>
    <w:p w14:paraId="7D853180" w14:textId="77777777" w:rsidR="00110D18" w:rsidRPr="00110D18" w:rsidRDefault="00110D18" w:rsidP="00110D18">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110D18">
        <w:rPr>
          <w:rFonts w:ascii="Georgia" w:eastAsia="Times New Roman" w:hAnsi="Georgia" w:cs="Tahoma"/>
          <w:color w:val="000000"/>
          <w:sz w:val="27"/>
          <w:szCs w:val="27"/>
          <w:lang w:val="en-ID" w:eastAsia="en-ID"/>
        </w:rPr>
        <w:t>Keywords</w:t>
      </w:r>
    </w:p>
    <w:p w14:paraId="79C8FFBF" w14:textId="77777777" w:rsidR="00110D18" w:rsidRPr="00110D18" w:rsidRDefault="00110D18" w:rsidP="00110D18">
      <w:pPr>
        <w:shd w:val="clear" w:color="auto" w:fill="FFFFFF"/>
        <w:spacing w:after="0" w:line="240" w:lineRule="auto"/>
        <w:rPr>
          <w:rFonts w:ascii="Tahoma" w:eastAsia="Times New Roman" w:hAnsi="Tahoma" w:cs="Tahoma"/>
          <w:color w:val="222222"/>
          <w:sz w:val="18"/>
          <w:szCs w:val="18"/>
          <w:lang w:val="en-ID" w:eastAsia="en-ID"/>
        </w:rPr>
      </w:pPr>
    </w:p>
    <w:p w14:paraId="2F083328" w14:textId="77777777" w:rsidR="00110D18" w:rsidRPr="00110D18" w:rsidRDefault="00110D18" w:rsidP="00110D18">
      <w:pPr>
        <w:shd w:val="clear" w:color="auto" w:fill="FFFFFF"/>
        <w:spacing w:after="0" w:line="240" w:lineRule="auto"/>
        <w:rPr>
          <w:rFonts w:ascii="Tahoma" w:eastAsia="Times New Roman" w:hAnsi="Tahoma" w:cs="Tahoma"/>
          <w:color w:val="222222"/>
          <w:sz w:val="18"/>
          <w:szCs w:val="18"/>
          <w:lang w:val="en-ID" w:eastAsia="en-ID"/>
        </w:rPr>
      </w:pPr>
      <w:r w:rsidRPr="00110D18">
        <w:rPr>
          <w:rFonts w:ascii="Tahoma" w:eastAsia="Times New Roman" w:hAnsi="Tahoma" w:cs="Tahoma"/>
          <w:color w:val="222222"/>
          <w:sz w:val="18"/>
          <w:szCs w:val="18"/>
          <w:lang w:val="en-ID" w:eastAsia="en-ID"/>
        </w:rPr>
        <w:t>Cost of Production, CPO (Crude Palm Oil)</w:t>
      </w:r>
    </w:p>
    <w:p w14:paraId="689F473E" w14:textId="77777777" w:rsidR="00110D18" w:rsidRPr="00110D18" w:rsidRDefault="00110D18" w:rsidP="00110D18">
      <w:pPr>
        <w:shd w:val="clear" w:color="auto" w:fill="FFFFFF"/>
        <w:spacing w:after="0" w:line="240" w:lineRule="auto"/>
        <w:rPr>
          <w:rFonts w:ascii="Tahoma" w:eastAsia="Times New Roman" w:hAnsi="Tahoma" w:cs="Tahoma"/>
          <w:color w:val="222222"/>
          <w:sz w:val="18"/>
          <w:szCs w:val="18"/>
          <w:lang w:val="en-ID" w:eastAsia="en-ID"/>
        </w:rPr>
      </w:pPr>
    </w:p>
    <w:p w14:paraId="417CFAD4" w14:textId="77777777" w:rsidR="00110D18" w:rsidRPr="00110D18" w:rsidRDefault="00110D18" w:rsidP="00110D18">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110D18">
        <w:rPr>
          <w:rFonts w:ascii="Georgia" w:eastAsia="Times New Roman" w:hAnsi="Georgia" w:cs="Tahoma"/>
          <w:color w:val="000000"/>
          <w:sz w:val="27"/>
          <w:szCs w:val="27"/>
          <w:lang w:val="en-ID" w:eastAsia="en-ID"/>
        </w:rPr>
        <w:t>References</w:t>
      </w:r>
    </w:p>
    <w:p w14:paraId="72AF60AB" w14:textId="77777777" w:rsidR="00110D18" w:rsidRPr="00110D18" w:rsidRDefault="00110D18" w:rsidP="00110D18">
      <w:pPr>
        <w:shd w:val="clear" w:color="auto" w:fill="FFFFFF"/>
        <w:spacing w:after="0" w:line="240" w:lineRule="auto"/>
        <w:rPr>
          <w:rFonts w:ascii="Tahoma" w:eastAsia="Times New Roman" w:hAnsi="Tahoma" w:cs="Tahoma"/>
          <w:color w:val="222222"/>
          <w:sz w:val="18"/>
          <w:szCs w:val="18"/>
          <w:lang w:val="en-ID" w:eastAsia="en-ID"/>
        </w:rPr>
      </w:pPr>
    </w:p>
    <w:p w14:paraId="4D1C6F2A" w14:textId="77777777" w:rsidR="00110D18" w:rsidRPr="00110D18" w:rsidRDefault="00110D18" w:rsidP="00110D18">
      <w:pPr>
        <w:shd w:val="clear" w:color="auto" w:fill="FFFFFF"/>
        <w:spacing w:before="240" w:after="240" w:line="240" w:lineRule="auto"/>
        <w:rPr>
          <w:rFonts w:ascii="Tahoma" w:eastAsia="Times New Roman" w:hAnsi="Tahoma" w:cs="Tahoma"/>
          <w:color w:val="222222"/>
          <w:sz w:val="18"/>
          <w:szCs w:val="18"/>
          <w:lang w:val="en-ID" w:eastAsia="en-ID"/>
        </w:rPr>
      </w:pPr>
      <w:r w:rsidRPr="00110D18">
        <w:rPr>
          <w:rFonts w:ascii="Tahoma" w:eastAsia="Times New Roman" w:hAnsi="Tahoma" w:cs="Tahoma"/>
          <w:color w:val="222222"/>
          <w:sz w:val="18"/>
          <w:szCs w:val="18"/>
          <w:lang w:val="en-ID" w:eastAsia="en-ID"/>
        </w:rPr>
        <w:t>Bastian, Bustami dan Nurlela. (2010). Akuntansi Biaya. Edisi Kedua. Mitra Wacana Media, Jakarta.</w:t>
      </w:r>
    </w:p>
    <w:p w14:paraId="56E17F97" w14:textId="77777777" w:rsidR="00110D18" w:rsidRPr="00110D18" w:rsidRDefault="00110D18" w:rsidP="00110D18">
      <w:pPr>
        <w:shd w:val="clear" w:color="auto" w:fill="FFFFFF"/>
        <w:spacing w:before="240" w:after="240" w:line="240" w:lineRule="auto"/>
        <w:rPr>
          <w:rFonts w:ascii="Tahoma" w:eastAsia="Times New Roman" w:hAnsi="Tahoma" w:cs="Tahoma"/>
          <w:color w:val="222222"/>
          <w:sz w:val="18"/>
          <w:szCs w:val="18"/>
          <w:lang w:val="en-ID" w:eastAsia="en-ID"/>
        </w:rPr>
      </w:pPr>
      <w:r w:rsidRPr="00110D18">
        <w:rPr>
          <w:rFonts w:ascii="Tahoma" w:eastAsia="Times New Roman" w:hAnsi="Tahoma" w:cs="Tahoma"/>
          <w:color w:val="222222"/>
          <w:sz w:val="18"/>
          <w:szCs w:val="18"/>
          <w:lang w:val="en-ID" w:eastAsia="en-ID"/>
        </w:rPr>
        <w:t>Halim, Abdul, Bambang Supomo, dan Muhammad Syam Kusufi. (2014). Akuntansi Manajemen. Edisi Kedua. BPFE, Cetakan Keempat, Yogyakarta.</w:t>
      </w:r>
    </w:p>
    <w:p w14:paraId="23E89BD3" w14:textId="77777777" w:rsidR="00110D18" w:rsidRPr="00110D18" w:rsidRDefault="00110D18" w:rsidP="00110D18">
      <w:pPr>
        <w:shd w:val="clear" w:color="auto" w:fill="FFFFFF"/>
        <w:spacing w:before="240" w:after="240" w:line="240" w:lineRule="auto"/>
        <w:rPr>
          <w:rFonts w:ascii="Tahoma" w:eastAsia="Times New Roman" w:hAnsi="Tahoma" w:cs="Tahoma"/>
          <w:color w:val="222222"/>
          <w:sz w:val="18"/>
          <w:szCs w:val="18"/>
          <w:lang w:val="en-ID" w:eastAsia="en-ID"/>
        </w:rPr>
      </w:pPr>
      <w:r w:rsidRPr="00110D18">
        <w:rPr>
          <w:rFonts w:ascii="Tahoma" w:eastAsia="Times New Roman" w:hAnsi="Tahoma" w:cs="Tahoma"/>
          <w:color w:val="222222"/>
          <w:sz w:val="18"/>
          <w:szCs w:val="18"/>
          <w:lang w:val="en-ID" w:eastAsia="en-ID"/>
        </w:rPr>
        <w:t>IAI. (2016). PSAK No.16 (Revisi 2016) Aset Tetap. Dewan Standar Akuntansi Keuangan, Jakarta.</w:t>
      </w:r>
    </w:p>
    <w:p w14:paraId="2DAEAA92" w14:textId="77777777" w:rsidR="00110D18" w:rsidRPr="00110D18" w:rsidRDefault="00110D18" w:rsidP="00110D18">
      <w:pPr>
        <w:shd w:val="clear" w:color="auto" w:fill="FFFFFF"/>
        <w:spacing w:before="240" w:after="240" w:line="240" w:lineRule="auto"/>
        <w:rPr>
          <w:rFonts w:ascii="Tahoma" w:eastAsia="Times New Roman" w:hAnsi="Tahoma" w:cs="Tahoma"/>
          <w:color w:val="222222"/>
          <w:sz w:val="18"/>
          <w:szCs w:val="18"/>
          <w:lang w:val="en-ID" w:eastAsia="en-ID"/>
        </w:rPr>
      </w:pPr>
      <w:r w:rsidRPr="00110D18">
        <w:rPr>
          <w:rFonts w:ascii="Tahoma" w:eastAsia="Times New Roman" w:hAnsi="Tahoma" w:cs="Tahoma"/>
          <w:color w:val="222222"/>
          <w:sz w:val="18"/>
          <w:szCs w:val="18"/>
          <w:lang w:val="en-ID" w:eastAsia="en-ID"/>
        </w:rPr>
        <w:t>Mulyadi. (2014). Akuntansi Biaya. Edisi Kelima. UPP Sekolah Tinggi Ilmu Manajemen YKPN, Cetakan Keduabelas, Yogyakarta.</w:t>
      </w:r>
    </w:p>
    <w:p w14:paraId="20D2705E" w14:textId="77777777" w:rsidR="00110D18" w:rsidRPr="00110D18" w:rsidRDefault="00110D18" w:rsidP="00110D18">
      <w:pPr>
        <w:shd w:val="clear" w:color="auto" w:fill="FFFFFF"/>
        <w:spacing w:before="240" w:after="240" w:line="240" w:lineRule="auto"/>
        <w:rPr>
          <w:rFonts w:ascii="Tahoma" w:eastAsia="Times New Roman" w:hAnsi="Tahoma" w:cs="Tahoma"/>
          <w:color w:val="222222"/>
          <w:sz w:val="18"/>
          <w:szCs w:val="18"/>
          <w:lang w:val="en-ID" w:eastAsia="en-ID"/>
        </w:rPr>
      </w:pPr>
      <w:r w:rsidRPr="00110D18">
        <w:rPr>
          <w:rFonts w:ascii="Tahoma" w:eastAsia="Times New Roman" w:hAnsi="Tahoma" w:cs="Tahoma"/>
          <w:color w:val="222222"/>
          <w:sz w:val="18"/>
          <w:szCs w:val="18"/>
          <w:lang w:val="en-ID" w:eastAsia="en-ID"/>
        </w:rPr>
        <w:t>Salman, Riza K. (2013). Akuntansi Biaya: Pendekatan Product Costing. Akademia Permata, Cetakan 1, Jakarta.</w:t>
      </w:r>
    </w:p>
    <w:p w14:paraId="442D8B02" w14:textId="77777777" w:rsidR="00110D18" w:rsidRPr="00110D18" w:rsidRDefault="00110D18" w:rsidP="00110D18">
      <w:pPr>
        <w:shd w:val="clear" w:color="auto" w:fill="FFFFFF"/>
        <w:spacing w:before="240" w:after="240" w:line="240" w:lineRule="auto"/>
        <w:rPr>
          <w:rFonts w:ascii="Tahoma" w:eastAsia="Times New Roman" w:hAnsi="Tahoma" w:cs="Tahoma"/>
          <w:color w:val="222222"/>
          <w:sz w:val="18"/>
          <w:szCs w:val="18"/>
          <w:lang w:val="en-ID" w:eastAsia="en-ID"/>
        </w:rPr>
      </w:pPr>
      <w:r w:rsidRPr="00110D18">
        <w:rPr>
          <w:rFonts w:ascii="Tahoma" w:eastAsia="Times New Roman" w:hAnsi="Tahoma" w:cs="Tahoma"/>
          <w:color w:val="222222"/>
          <w:sz w:val="18"/>
          <w:szCs w:val="18"/>
          <w:lang w:val="en-ID" w:eastAsia="en-ID"/>
        </w:rPr>
        <w:t>Supriyono. (2011). Akuntansi Biaya. Edisi Kedua, Buku 1. BPFE, Cetakan Kelimabelas, Yogyakarta.</w:t>
      </w:r>
    </w:p>
    <w:p w14:paraId="223AA2CC" w14:textId="77777777" w:rsidR="00110D18" w:rsidRPr="00110D18" w:rsidRDefault="00110D18" w:rsidP="00110D18">
      <w:pPr>
        <w:shd w:val="clear" w:color="auto" w:fill="FFFFFF"/>
        <w:spacing w:before="240" w:after="240" w:line="240" w:lineRule="auto"/>
        <w:rPr>
          <w:rFonts w:ascii="Tahoma" w:eastAsia="Times New Roman" w:hAnsi="Tahoma" w:cs="Tahoma"/>
          <w:color w:val="222222"/>
          <w:sz w:val="18"/>
          <w:szCs w:val="18"/>
          <w:lang w:val="en-ID" w:eastAsia="en-ID"/>
        </w:rPr>
      </w:pPr>
      <w:r w:rsidRPr="00110D18">
        <w:rPr>
          <w:rFonts w:ascii="Tahoma" w:eastAsia="Times New Roman" w:hAnsi="Tahoma" w:cs="Tahoma"/>
          <w:color w:val="222222"/>
          <w:sz w:val="18"/>
          <w:szCs w:val="18"/>
          <w:lang w:val="en-ID" w:eastAsia="en-ID"/>
        </w:rPr>
        <w:t>Widilestariningtyas, Ony, Dony Waluya Firdaus, Sri Dewi Anggadini. (2012). Akuntansi Biaya. Edisi Kesatu. Graha Ilmu, Yogyakarta.</w:t>
      </w:r>
    </w:p>
    <w:p w14:paraId="3E842222" w14:textId="77777777" w:rsidR="00110D18" w:rsidRPr="00110D18" w:rsidRDefault="00110D18" w:rsidP="00110D18">
      <w:pPr>
        <w:shd w:val="clear" w:color="auto" w:fill="FFFFFF"/>
        <w:spacing w:before="240" w:after="240" w:line="240" w:lineRule="auto"/>
        <w:rPr>
          <w:rFonts w:ascii="Tahoma" w:eastAsia="Times New Roman" w:hAnsi="Tahoma" w:cs="Tahoma"/>
          <w:color w:val="222222"/>
          <w:sz w:val="18"/>
          <w:szCs w:val="18"/>
          <w:lang w:val="en-ID" w:eastAsia="en-ID"/>
        </w:rPr>
      </w:pPr>
      <w:r w:rsidRPr="00110D18">
        <w:rPr>
          <w:rFonts w:ascii="Tahoma" w:eastAsia="Times New Roman" w:hAnsi="Tahoma" w:cs="Tahoma"/>
          <w:color w:val="222222"/>
          <w:sz w:val="18"/>
          <w:szCs w:val="18"/>
          <w:lang w:val="en-ID" w:eastAsia="en-ID"/>
        </w:rPr>
        <w:t>Witjaksono, Armanto. (2013). Akuntansi Biaya. Graha Ilmu, Yogyakarta.</w:t>
      </w:r>
    </w:p>
    <w:p w14:paraId="6E1E4AC4" w14:textId="77777777" w:rsidR="00110D18" w:rsidRPr="00110D18" w:rsidRDefault="00110D18" w:rsidP="00110D18">
      <w:pPr>
        <w:shd w:val="clear" w:color="auto" w:fill="FFFFFF"/>
        <w:spacing w:after="0" w:line="240" w:lineRule="auto"/>
        <w:rPr>
          <w:rFonts w:ascii="Tahoma" w:eastAsia="Times New Roman" w:hAnsi="Tahoma" w:cs="Tahoma"/>
          <w:color w:val="222222"/>
          <w:sz w:val="18"/>
          <w:szCs w:val="18"/>
          <w:lang w:val="en-ID" w:eastAsia="en-ID"/>
        </w:rPr>
      </w:pPr>
    </w:p>
    <w:p w14:paraId="323A19A8" w14:textId="1B2727EF" w:rsidR="00012414" w:rsidRDefault="00110D18" w:rsidP="00110D18">
      <w:r w:rsidRPr="00110D18">
        <w:rPr>
          <w:rFonts w:ascii="Tahoma" w:eastAsia="Times New Roman" w:hAnsi="Tahoma" w:cs="Tahoma"/>
          <w:color w:val="222222"/>
          <w:sz w:val="18"/>
          <w:szCs w:val="18"/>
          <w:lang w:val="en-ID" w:eastAsia="en-ID"/>
        </w:rPr>
        <w:br/>
      </w:r>
      <w:r w:rsidRPr="00110D18">
        <w:rPr>
          <w:rFonts w:ascii="Tahoma" w:eastAsia="Times New Roman" w:hAnsi="Tahoma" w:cs="Tahoma"/>
          <w:color w:val="222222"/>
          <w:sz w:val="18"/>
          <w:szCs w:val="18"/>
          <w:lang w:val="en-ID" w:eastAsia="en-ID"/>
        </w:rPr>
        <w:br/>
      </w:r>
      <w:r w:rsidRPr="00110D18">
        <w:rPr>
          <w:rFonts w:ascii="Tahoma" w:eastAsia="Times New Roman" w:hAnsi="Tahoma" w:cs="Tahoma"/>
          <w:color w:val="222222"/>
          <w:sz w:val="18"/>
          <w:szCs w:val="18"/>
          <w:shd w:val="clear" w:color="auto" w:fill="FFFFFF"/>
          <w:lang w:val="en-ID" w:eastAsia="en-ID"/>
        </w:rPr>
        <w:t>DOI: </w:t>
      </w:r>
      <w:hyperlink r:id="rId4" w:history="1">
        <w:r w:rsidRPr="00110D18">
          <w:rPr>
            <w:rFonts w:ascii="Tahoma" w:eastAsia="Times New Roman" w:hAnsi="Tahoma" w:cs="Tahoma"/>
            <w:color w:val="094D8E"/>
            <w:sz w:val="18"/>
            <w:szCs w:val="18"/>
            <w:u w:val="single"/>
            <w:shd w:val="clear" w:color="auto" w:fill="FFFFFF"/>
            <w:lang w:val="en-ID" w:eastAsia="en-ID"/>
          </w:rPr>
          <w:t>http://dx.doi.org/10.29264/jiam.v5i2.6328</w:t>
        </w:r>
      </w:hyperlink>
    </w:p>
    <w:sectPr w:rsidR="000124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10D18"/>
    <w:rsid w:val="00012414"/>
    <w:rsid w:val="00110D18"/>
    <w:rsid w:val="00D70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B8B1"/>
  <w15:chartTrackingRefBased/>
  <w15:docId w15:val="{A00AD99B-DF63-46A9-903A-BA0A5B728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10D18"/>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paragraph" w:styleId="Heading4">
    <w:name w:val="heading 4"/>
    <w:basedOn w:val="Normal"/>
    <w:link w:val="Heading4Char"/>
    <w:uiPriority w:val="9"/>
    <w:qFormat/>
    <w:rsid w:val="00110D18"/>
    <w:pPr>
      <w:spacing w:before="100" w:beforeAutospacing="1" w:after="100" w:afterAutospacing="1" w:line="240" w:lineRule="auto"/>
      <w:outlineLvl w:val="3"/>
    </w:pPr>
    <w:rPr>
      <w:rFonts w:ascii="Times New Roman" w:eastAsia="Times New Roman" w:hAnsi="Times New Roman" w:cs="Times New Roman"/>
      <w:b/>
      <w:bCs/>
      <w:sz w:val="24"/>
      <w:szCs w:val="24"/>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10D18"/>
    <w:rPr>
      <w:rFonts w:ascii="Times New Roman" w:eastAsia="Times New Roman" w:hAnsi="Times New Roman" w:cs="Times New Roman"/>
      <w:b/>
      <w:bCs/>
      <w:sz w:val="27"/>
      <w:szCs w:val="27"/>
      <w:lang w:val="en-ID" w:eastAsia="en-ID"/>
    </w:rPr>
  </w:style>
  <w:style w:type="character" w:customStyle="1" w:styleId="Heading4Char">
    <w:name w:val="Heading 4 Char"/>
    <w:basedOn w:val="DefaultParagraphFont"/>
    <w:link w:val="Heading4"/>
    <w:uiPriority w:val="9"/>
    <w:rsid w:val="00110D18"/>
    <w:rPr>
      <w:rFonts w:ascii="Times New Roman" w:eastAsia="Times New Roman" w:hAnsi="Times New Roman" w:cs="Times New Roman"/>
      <w:b/>
      <w:bCs/>
      <w:sz w:val="24"/>
      <w:szCs w:val="24"/>
      <w:lang w:val="en-ID" w:eastAsia="en-ID"/>
    </w:rPr>
  </w:style>
  <w:style w:type="character" w:styleId="Emphasis">
    <w:name w:val="Emphasis"/>
    <w:basedOn w:val="DefaultParagraphFont"/>
    <w:uiPriority w:val="20"/>
    <w:qFormat/>
    <w:rsid w:val="00110D18"/>
    <w:rPr>
      <w:i/>
      <w:iCs/>
    </w:rPr>
  </w:style>
  <w:style w:type="paragraph" w:styleId="NormalWeb">
    <w:name w:val="Normal (Web)"/>
    <w:basedOn w:val="Normal"/>
    <w:uiPriority w:val="99"/>
    <w:semiHidden/>
    <w:unhideWhenUsed/>
    <w:rsid w:val="00110D18"/>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Hyperlink">
    <w:name w:val="Hyperlink"/>
    <w:basedOn w:val="DefaultParagraphFont"/>
    <w:uiPriority w:val="99"/>
    <w:semiHidden/>
    <w:unhideWhenUsed/>
    <w:rsid w:val="00110D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9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x.doi.org/10.29264/jiam.v5i2.63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Sept 480</dc:creator>
  <cp:keywords/>
  <dc:description/>
  <cp:lastModifiedBy>Sept 480</cp:lastModifiedBy>
  <cp:revision>1</cp:revision>
  <dcterms:created xsi:type="dcterms:W3CDTF">2022-03-16T10:48:00Z</dcterms:created>
  <dcterms:modified xsi:type="dcterms:W3CDTF">2022-03-16T10:49:00Z</dcterms:modified>
</cp:coreProperties>
</file>