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FCE37" w14:textId="77777777" w:rsidR="00D641B9" w:rsidRPr="00D641B9" w:rsidRDefault="00D641B9" w:rsidP="00D641B9">
      <w:pPr>
        <w:shd w:val="clear" w:color="auto" w:fill="FFFFFF"/>
        <w:spacing w:after="60" w:line="240" w:lineRule="auto"/>
        <w:ind w:right="240"/>
        <w:outlineLvl w:val="2"/>
        <w:rPr>
          <w:rFonts w:ascii="Georgia" w:eastAsia="Times New Roman" w:hAnsi="Georgia" w:cs="Tahoma"/>
          <w:color w:val="000000"/>
          <w:sz w:val="32"/>
          <w:szCs w:val="32"/>
          <w:lang w:val="en-ID" w:eastAsia="en-ID"/>
        </w:rPr>
      </w:pPr>
      <w:r w:rsidRPr="00D641B9">
        <w:rPr>
          <w:rFonts w:ascii="Georgia" w:eastAsia="Times New Roman" w:hAnsi="Georgia" w:cs="Tahoma"/>
          <w:color w:val="000000"/>
          <w:sz w:val="32"/>
          <w:szCs w:val="32"/>
          <w:lang w:val="en-ID" w:eastAsia="en-ID"/>
        </w:rPr>
        <w:t>Pengaruh tax avoidance dan voluntary disclosure terhadap biaya utang (cost of debt) pada perusahaan manufaktur yang terdaftar di bursa efek indonesia</w:t>
      </w:r>
    </w:p>
    <w:p w14:paraId="2086D58C"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r w:rsidRPr="00D641B9">
        <w:rPr>
          <w:rFonts w:ascii="Tahoma" w:eastAsia="Times New Roman" w:hAnsi="Tahoma" w:cs="Tahoma"/>
          <w:i/>
          <w:iCs/>
          <w:color w:val="222222"/>
          <w:sz w:val="18"/>
          <w:szCs w:val="18"/>
          <w:lang w:val="en-ID" w:eastAsia="en-ID"/>
        </w:rPr>
        <w:t>Willy Yasin Daru Wijaya, Cornelius Rantelangi, Muhammad Abadan Syakura</w:t>
      </w:r>
    </w:p>
    <w:p w14:paraId="6FBB0CDC" w14:textId="77777777" w:rsidR="00D641B9" w:rsidRPr="00D641B9" w:rsidRDefault="00D641B9" w:rsidP="00D641B9">
      <w:pPr>
        <w:spacing w:after="0" w:line="240" w:lineRule="auto"/>
        <w:rPr>
          <w:rFonts w:ascii="Times New Roman" w:eastAsia="Times New Roman" w:hAnsi="Times New Roman" w:cs="Times New Roman"/>
          <w:sz w:val="24"/>
          <w:szCs w:val="24"/>
          <w:lang w:val="en-ID" w:eastAsia="en-ID"/>
        </w:rPr>
      </w:pPr>
    </w:p>
    <w:p w14:paraId="75E94C2E" w14:textId="77777777" w:rsidR="00D641B9" w:rsidRPr="00D641B9" w:rsidRDefault="00D641B9" w:rsidP="00D641B9">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D641B9">
        <w:rPr>
          <w:rFonts w:ascii="Georgia" w:eastAsia="Times New Roman" w:hAnsi="Georgia" w:cs="Tahoma"/>
          <w:color w:val="000000"/>
          <w:sz w:val="27"/>
          <w:szCs w:val="27"/>
          <w:lang w:val="en-ID" w:eastAsia="en-ID"/>
        </w:rPr>
        <w:t>Abstract</w:t>
      </w:r>
    </w:p>
    <w:p w14:paraId="121C6F15"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p>
    <w:p w14:paraId="67DE4188"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Penelitian ini bertujuan untuk menguji dan mengetahui apakah </w:t>
      </w:r>
      <w:r w:rsidRPr="00D641B9">
        <w:rPr>
          <w:rFonts w:ascii="Tahoma" w:eastAsia="Times New Roman" w:hAnsi="Tahoma" w:cs="Tahoma"/>
          <w:i/>
          <w:iCs/>
          <w:color w:val="222222"/>
          <w:sz w:val="18"/>
          <w:szCs w:val="18"/>
          <w:lang w:val="en-ID" w:eastAsia="en-ID"/>
        </w:rPr>
        <w:t>tax avoidance </w:t>
      </w:r>
      <w:r w:rsidRPr="00D641B9">
        <w:rPr>
          <w:rFonts w:ascii="Tahoma" w:eastAsia="Times New Roman" w:hAnsi="Tahoma" w:cs="Tahoma"/>
          <w:color w:val="222222"/>
          <w:sz w:val="18"/>
          <w:szCs w:val="18"/>
          <w:lang w:val="en-ID" w:eastAsia="en-ID"/>
        </w:rPr>
        <w:t>dan </w:t>
      </w:r>
      <w:r w:rsidRPr="00D641B9">
        <w:rPr>
          <w:rFonts w:ascii="Tahoma" w:eastAsia="Times New Roman" w:hAnsi="Tahoma" w:cs="Tahoma"/>
          <w:i/>
          <w:iCs/>
          <w:color w:val="222222"/>
          <w:sz w:val="18"/>
          <w:szCs w:val="18"/>
          <w:lang w:val="en-ID" w:eastAsia="en-ID"/>
        </w:rPr>
        <w:t>voluntary disclosure </w:t>
      </w:r>
      <w:r w:rsidRPr="00D641B9">
        <w:rPr>
          <w:rFonts w:ascii="Tahoma" w:eastAsia="Times New Roman" w:hAnsi="Tahoma" w:cs="Tahoma"/>
          <w:color w:val="222222"/>
          <w:sz w:val="18"/>
          <w:szCs w:val="18"/>
          <w:lang w:val="en-ID" w:eastAsia="en-ID"/>
        </w:rPr>
        <w:t>berpengaruh terhadap biaya utang pada perusahaan manufaktur yang terdaftar di Bursa Efek Indonesia (BEI) periode 2016 sampai 2018. Penelitian ini menggunakan metode pengumpulan data secara studi dokumentasi, sehingga diperoleh data sekunder yang bersumber dari halaman website Indonesia Stock Exchange (IDX). Teknik analisis yang digunakan dalam penelitian ini adalah analisis regresi linier berganda. Hasil penelitian ini menunjukkan bahwa </w:t>
      </w:r>
      <w:r w:rsidRPr="00D641B9">
        <w:rPr>
          <w:rFonts w:ascii="Tahoma" w:eastAsia="Times New Roman" w:hAnsi="Tahoma" w:cs="Tahoma"/>
          <w:i/>
          <w:iCs/>
          <w:color w:val="222222"/>
          <w:sz w:val="18"/>
          <w:szCs w:val="18"/>
          <w:lang w:val="en-ID" w:eastAsia="en-ID"/>
        </w:rPr>
        <w:t>tax avoidance </w:t>
      </w:r>
      <w:r w:rsidRPr="00D641B9">
        <w:rPr>
          <w:rFonts w:ascii="Tahoma" w:eastAsia="Times New Roman" w:hAnsi="Tahoma" w:cs="Tahoma"/>
          <w:color w:val="222222"/>
          <w:sz w:val="18"/>
          <w:szCs w:val="18"/>
          <w:lang w:val="en-ID" w:eastAsia="en-ID"/>
        </w:rPr>
        <w:t>berpengaruh positif signifikan terhadap biaya utang. Sedangkan </w:t>
      </w:r>
      <w:r w:rsidRPr="00D641B9">
        <w:rPr>
          <w:rFonts w:ascii="Tahoma" w:eastAsia="Times New Roman" w:hAnsi="Tahoma" w:cs="Tahoma"/>
          <w:i/>
          <w:iCs/>
          <w:color w:val="222222"/>
          <w:sz w:val="18"/>
          <w:szCs w:val="18"/>
          <w:lang w:val="en-ID" w:eastAsia="en-ID"/>
        </w:rPr>
        <w:t>voluntary disclosure </w:t>
      </w:r>
      <w:r w:rsidRPr="00D641B9">
        <w:rPr>
          <w:rFonts w:ascii="Tahoma" w:eastAsia="Times New Roman" w:hAnsi="Tahoma" w:cs="Tahoma"/>
          <w:color w:val="222222"/>
          <w:sz w:val="18"/>
          <w:szCs w:val="18"/>
          <w:lang w:val="en-ID" w:eastAsia="en-ID"/>
        </w:rPr>
        <w:t>berpengaruh negatif terhadap biaya utang, yang artinya bahwa </w:t>
      </w:r>
      <w:r w:rsidRPr="00D641B9">
        <w:rPr>
          <w:rFonts w:ascii="Tahoma" w:eastAsia="Times New Roman" w:hAnsi="Tahoma" w:cs="Tahoma"/>
          <w:i/>
          <w:iCs/>
          <w:color w:val="222222"/>
          <w:sz w:val="18"/>
          <w:szCs w:val="18"/>
          <w:lang w:val="en-ID" w:eastAsia="en-ID"/>
        </w:rPr>
        <w:t>voluntary disclosure </w:t>
      </w:r>
      <w:r w:rsidRPr="00D641B9">
        <w:rPr>
          <w:rFonts w:ascii="Tahoma" w:eastAsia="Times New Roman" w:hAnsi="Tahoma" w:cs="Tahoma"/>
          <w:color w:val="222222"/>
          <w:sz w:val="18"/>
          <w:szCs w:val="18"/>
          <w:lang w:val="en-ID" w:eastAsia="en-ID"/>
        </w:rPr>
        <w:t>memiliki hubungan negatif signifikan atau berlawanan dengan biaya utang.</w:t>
      </w:r>
    </w:p>
    <w:p w14:paraId="5484F47E"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p>
    <w:p w14:paraId="0BA469CE" w14:textId="77777777" w:rsidR="00D641B9" w:rsidRPr="00D641B9" w:rsidRDefault="00D641B9" w:rsidP="00D641B9">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D641B9">
        <w:rPr>
          <w:rFonts w:ascii="Georgia" w:eastAsia="Times New Roman" w:hAnsi="Georgia" w:cs="Tahoma"/>
          <w:color w:val="000000"/>
          <w:sz w:val="27"/>
          <w:szCs w:val="27"/>
          <w:lang w:val="en-ID" w:eastAsia="en-ID"/>
        </w:rPr>
        <w:t>Keywords</w:t>
      </w:r>
    </w:p>
    <w:p w14:paraId="3D7BCA1F"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p>
    <w:p w14:paraId="5105C946"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Tax avoidance; voluntary disclosure; biaya utang</w:t>
      </w:r>
    </w:p>
    <w:p w14:paraId="66075D3E"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p>
    <w:p w14:paraId="4390F30F" w14:textId="77777777" w:rsidR="00D641B9" w:rsidRPr="00D641B9" w:rsidRDefault="00D641B9" w:rsidP="00D641B9">
      <w:pPr>
        <w:shd w:val="clear" w:color="auto" w:fill="FFFFFF"/>
        <w:spacing w:before="180" w:after="60" w:line="240" w:lineRule="auto"/>
        <w:ind w:right="240"/>
        <w:outlineLvl w:val="3"/>
        <w:rPr>
          <w:rFonts w:ascii="Georgia" w:eastAsia="Times New Roman" w:hAnsi="Georgia" w:cs="Tahoma"/>
          <w:color w:val="000000"/>
          <w:sz w:val="27"/>
          <w:szCs w:val="27"/>
          <w:lang w:val="en-ID" w:eastAsia="en-ID"/>
        </w:rPr>
      </w:pPr>
      <w:r w:rsidRPr="00D641B9">
        <w:rPr>
          <w:rFonts w:ascii="Georgia" w:eastAsia="Times New Roman" w:hAnsi="Georgia" w:cs="Tahoma"/>
          <w:color w:val="000000"/>
          <w:sz w:val="27"/>
          <w:szCs w:val="27"/>
          <w:lang w:val="en-ID" w:eastAsia="en-ID"/>
        </w:rPr>
        <w:t>References</w:t>
      </w:r>
    </w:p>
    <w:p w14:paraId="2AC950A1"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p>
    <w:p w14:paraId="08270396"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Annisa, N. A. dan Kurniasih, L. (2012). Pengaruh Corporate Governance Terhadap Tax Avoidance. Jurnal Akuntansi dan Auditing, 8(2),123-136.</w:t>
      </w:r>
    </w:p>
    <w:p w14:paraId="5BC155D3"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Arianti, B. F. (2019). Pengaruh Pengungkapan Sukarela, Tax Avoidance, dan Corporate Governance Terhadap Biaya Hutang. Journal of Economic and Management Scienties, 2(1), 14-29.</w:t>
      </w:r>
    </w:p>
    <w:p w14:paraId="230672AB"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Ashbaugh, H., Collins, D. W., dan LaFond, R. (2004). Corporate Governance and the Cost of Equity Capital. Working Paper. University of Wiconsin. 1-49.</w:t>
      </w:r>
    </w:p>
    <w:p w14:paraId="4969DCFE"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Atmaja, Lukas Setia. (2008). Teori dan Praktik Manajemen Keuangan . Yogyakarta : Andi Offset.</w:t>
      </w:r>
    </w:p>
    <w:p w14:paraId="7D4FD210"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Bhojraj, S., dan Sengupta, P. (2003). Effect of corporate governance on bond ratings and yields: The role of institutional investors and outside directors. Journal of Business, 76(3), 455–475.</w:t>
      </w:r>
    </w:p>
    <w:p w14:paraId="7A3AAF30"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Brigham, E. W. dan Houston, J. F. (2011). Dasar-Dasar Manajemen Keuangan. Jakarta : Salemba Empat.</w:t>
      </w:r>
    </w:p>
    <w:p w14:paraId="385FBC8C"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Chasbiandani, T., dan Martani, D. (2012). Pengaruh Tax Avoidance Jangka Panjang Terhadap Nilai Perusahaan. Simposium Nasional Akuntansi XV Banjarmasin, 1-23</w:t>
      </w:r>
    </w:p>
    <w:p w14:paraId="4BD1274B"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Choi, F. D. S. dan Meek, G. K. (2010). International Accounting (6th ed.). Jakarta: Salemba Empat.</w:t>
      </w:r>
    </w:p>
    <w:p w14:paraId="31DD3952"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Desai, M. A. dan Dharmaphala D. (2006). Corporate tax avoidance and high-powered incentives. Journal of Financial Economics, 79(1), 145-179</w:t>
      </w:r>
    </w:p>
    <w:p w14:paraId="0EECC6CC"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Ghozali, I. (2018). Aplikasi Analisis Multivariate Dengan Program IBM SPSS 25 (5th ed.). Semarang: Badan Penerbit Universitas Diponegoro.</w:t>
      </w:r>
    </w:p>
    <w:p w14:paraId="2C9348F1"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lastRenderedPageBreak/>
        <w:t>Irawan, Y., Sularso, H., dan Farida, Y. N. (2017). Analisis atas Penghindaran Pajak (Tax Avoidance) pada Perusahaan Property dan Real Estate di Indonesia. Jurnal Ekonomi dan Bisnis, 7(09), 400–410.</w:t>
      </w:r>
    </w:p>
    <w:p w14:paraId="29620E4F"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Jensen, M. C., dan Meckling, W. H. (1976). Theory of the Firm : Managerial Behavior , Agency Costs and Ownership Structure Theory of the Firm : Managerial Behavior, Agency Costs and Ownership Structure. Journal of Financial Economics, 3(4), 305–360.</w:t>
      </w:r>
    </w:p>
    <w:p w14:paraId="31CBAE7D"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Juniarti, dan Sentosa, A. A. (2009). Pengaruh Good Corporate Governance, Voluntary Disclosure terhadap Biaya Utang (Costs of Debt). Jurnal Akuntansi Keuangan, 11(2), 88–100.</w:t>
      </w:r>
    </w:p>
    <w:p w14:paraId="6DF1B751"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Kartadjumena, E. (2010). Pengaruh Voluntary Disclossure of Financial Information dan CSR Disclosure Terhadap Earning Response Coefficient (Survey pada Perusahaan Manufaktur di BEI 2008-2009). The 4th PPM National Conference on Management Research Jakarta, 1–17.</w:t>
      </w:r>
    </w:p>
    <w:p w14:paraId="6D128A52"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Kholbadalov, U. (2012). Report information from proquest the relationship of corporate tax avoidance, cost of debt and institutional ownership: evidence from Malaysia. Atlantic Review of Economics, 2(5), 38–68.</w:t>
      </w:r>
    </w:p>
    <w:p w14:paraId="7B515B34"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Lim, Y. (2011). Tax avoidance, cost of debt and shareholder activism: Evidence from Korea. Journal of Banking and Finance, 35(2), 456-470.</w:t>
      </w:r>
    </w:p>
    <w:p w14:paraId="7B24DDFC"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Marcelliana, E., dan Purwaningsih, A. (2014). "Pengaruh Tax Avoidance Terhadap Cost of Debt pada Perusahaan Manufaktur yang Terdaftar di Bursa Efek Indonesia Periode 2010-2012". Skripsi Fakultas Ekonomi, Universitas Atmajaya Yogyakarta.</w:t>
      </w:r>
    </w:p>
    <w:p w14:paraId="506515BD"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Masri, I., dan Martani, D. (2012). Pengaruh Tax Avoidance Terhadap Cost of Debt. Simposium Nasional Akuntansi XV Banjarmasin, 1-23.</w:t>
      </w:r>
    </w:p>
    <w:p w14:paraId="50FFE3FA"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Melianatika. (2018). "Pengaruh Corporate Governance dan Karakteristik Perusahaan Terhadap Pengungkapan Sukarela dalam Laporan Tahunan pada Perusahaan yang Terdaftar di BEI". Skripsi Fakultas Ekonomi dan Bisnis, Universitas Lampung.</w:t>
      </w:r>
    </w:p>
    <w:p w14:paraId="03D9D261"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Mujiyono, M. dan Magdalena, N. (2012). Pengaruh Leverage, Likuiditas, dan Saham Publik terhadap Luas Pengungkapan Sukarela dalam Laporan Tahunan. Jurnal Akuntansi dan Bisnis. 6(1).</w:t>
      </w:r>
    </w:p>
    <w:p w14:paraId="56687D92"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Pittman, J. A., dan Fortin, S. (2004). Auditor choice and the cost of debt capital for newly public firms. Journal of Accounting and Economics, 37(1), 113–136.</w:t>
      </w:r>
    </w:p>
    <w:p w14:paraId="01A63BEF"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Pohan, C. A. (2017). Manajemen Perpajakan Strategi Perencanaan Pajak dan Bisnis (Edisi Revisi). Jakarta: PT Gramedia Pustaka Utama.</w:t>
      </w:r>
    </w:p>
    <w:p w14:paraId="6155F6E5"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Rebecca, Y., dan Siregar, S. V. (2012). Pengaruh Corporate Governance Index, Kepemilikan Keluarga, dan Kepemilikan Institusional terhadap Biaya Ekuitas dan Biaya Utang: Studi Empiris pada Perusahaan Manufaktur yang Terdaftar di BEI. Simposium Nasional Akuntansi XV Banjarmasin, 15, 1–28.</w:t>
      </w:r>
    </w:p>
    <w:p w14:paraId="39ED9C70"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Samhudi, A. (2016). Pengaruh Good Corporate Governance (GCG) dn Voluntary Disclosure Terhadap Biaya Utang (Cost of Debt) pada Perusahaan Perbankan yang Terdaftar di BEI. Al – Ulum Ilmu Sosial dan Humaniora, 2(3), 1–7.</w:t>
      </w:r>
    </w:p>
    <w:p w14:paraId="6B97538B"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Santoso, T. B., dan Muid, D. (2014). Pengaruh Corporate Governance terhadap Penghindaran Pajak Perusahaan. Diponegoro Journal of Accounting, 3(4), 1–12.</w:t>
      </w:r>
    </w:p>
    <w:p w14:paraId="276CFA0D"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Setiani, I. N., dan Kusbandiyah, A. (2009). Pengaruh Good Corporate Governance, Voluntary Disclosure Terhadap Biaya Utang (Cost Of Debt) Pada Perusahaan Manufaktur yang Terdaftar Di Bursa Efek Indonesia. Jurnal Keuangan, 1(1), 1-14.</w:t>
      </w:r>
    </w:p>
    <w:p w14:paraId="1AC1969F"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Suandy, E. (2011). Perencanaan Pajak (5th ed.). Jakarta: Salemba Empat</w:t>
      </w:r>
    </w:p>
    <w:p w14:paraId="0FBC19B2"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Sugiyono. (2014). Metode Penelitian Kombinasi (Mixed Methods). Bandung: Alfabeta.</w:t>
      </w:r>
    </w:p>
    <w:p w14:paraId="3E328387"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lastRenderedPageBreak/>
        <w:t>Yenibra, R. (2014). "Pengaruh Corporate Governance, Kualitas Audit, dan Voluntary Disclosure Terhadap Biaya Utang (Studi Empiris pada Perusahaan Go Public yang Terdaftar di CGPI Tahun 2010-2012)". Skripsi Fakultas Ekonomi, Universitas Negeri Padang.</w:t>
      </w:r>
    </w:p>
    <w:p w14:paraId="32EC9EEC"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Zahro, F., Afifudin., dan Mawardi, M., C. (2018). Pengaruh Penghindaran Pajak dan Good Corporate Governance Terhadap Cost Of Debt. E-JRA, 7(6), 62-76.</w:t>
      </w:r>
    </w:p>
    <w:p w14:paraId="3A998526" w14:textId="77777777" w:rsidR="00D641B9" w:rsidRPr="00D641B9" w:rsidRDefault="00D641B9" w:rsidP="00D641B9">
      <w:pPr>
        <w:shd w:val="clear" w:color="auto" w:fill="FFFFFF"/>
        <w:spacing w:before="240" w:after="240" w:line="240" w:lineRule="auto"/>
        <w:rPr>
          <w:rFonts w:ascii="Tahoma" w:eastAsia="Times New Roman" w:hAnsi="Tahoma" w:cs="Tahoma"/>
          <w:color w:val="222222"/>
          <w:sz w:val="18"/>
          <w:szCs w:val="18"/>
          <w:lang w:val="en-ID" w:eastAsia="en-ID"/>
        </w:rPr>
      </w:pPr>
      <w:r w:rsidRPr="00D641B9">
        <w:rPr>
          <w:rFonts w:ascii="Tahoma" w:eastAsia="Times New Roman" w:hAnsi="Tahoma" w:cs="Tahoma"/>
          <w:color w:val="222222"/>
          <w:sz w:val="18"/>
          <w:szCs w:val="18"/>
          <w:lang w:val="en-ID" w:eastAsia="en-ID"/>
        </w:rPr>
        <w:t>www.idx.co.id</w:t>
      </w:r>
    </w:p>
    <w:p w14:paraId="2E95CC3C" w14:textId="77777777" w:rsidR="00D641B9" w:rsidRPr="00D641B9" w:rsidRDefault="00D641B9" w:rsidP="00D641B9">
      <w:pPr>
        <w:shd w:val="clear" w:color="auto" w:fill="FFFFFF"/>
        <w:spacing w:after="0" w:line="240" w:lineRule="auto"/>
        <w:rPr>
          <w:rFonts w:ascii="Tahoma" w:eastAsia="Times New Roman" w:hAnsi="Tahoma" w:cs="Tahoma"/>
          <w:color w:val="222222"/>
          <w:sz w:val="18"/>
          <w:szCs w:val="18"/>
          <w:lang w:val="en-ID" w:eastAsia="en-ID"/>
        </w:rPr>
      </w:pPr>
    </w:p>
    <w:p w14:paraId="462DD295" w14:textId="43C8F3F0" w:rsidR="00D641B9" w:rsidRPr="00D641B9" w:rsidRDefault="00D641B9" w:rsidP="00D641B9">
      <w:r w:rsidRPr="00D641B9">
        <w:rPr>
          <w:rFonts w:ascii="Tahoma" w:eastAsia="Times New Roman" w:hAnsi="Tahoma" w:cs="Tahoma"/>
          <w:color w:val="222222"/>
          <w:sz w:val="18"/>
          <w:szCs w:val="18"/>
          <w:lang w:val="en-ID" w:eastAsia="en-ID"/>
        </w:rPr>
        <w:br/>
      </w:r>
      <w:r w:rsidRPr="00D641B9">
        <w:rPr>
          <w:rFonts w:ascii="Tahoma" w:eastAsia="Times New Roman" w:hAnsi="Tahoma" w:cs="Tahoma"/>
          <w:color w:val="222222"/>
          <w:sz w:val="18"/>
          <w:szCs w:val="18"/>
          <w:lang w:val="en-ID" w:eastAsia="en-ID"/>
        </w:rPr>
        <w:br/>
      </w:r>
      <w:r w:rsidRPr="00D641B9">
        <w:rPr>
          <w:rFonts w:ascii="Tahoma" w:eastAsia="Times New Roman" w:hAnsi="Tahoma" w:cs="Tahoma"/>
          <w:color w:val="222222"/>
          <w:sz w:val="18"/>
          <w:szCs w:val="18"/>
          <w:shd w:val="clear" w:color="auto" w:fill="FFFFFF"/>
          <w:lang w:val="en-ID" w:eastAsia="en-ID"/>
        </w:rPr>
        <w:t>DOI: </w:t>
      </w:r>
      <w:hyperlink r:id="rId4" w:history="1">
        <w:r w:rsidRPr="00D641B9">
          <w:rPr>
            <w:rFonts w:ascii="Tahoma" w:eastAsia="Times New Roman" w:hAnsi="Tahoma" w:cs="Tahoma"/>
            <w:color w:val="094D8E"/>
            <w:sz w:val="18"/>
            <w:szCs w:val="18"/>
            <w:u w:val="single"/>
            <w:shd w:val="clear" w:color="auto" w:fill="FFFFFF"/>
            <w:lang w:val="en-ID" w:eastAsia="en-ID"/>
          </w:rPr>
          <w:t>http://dx.doi.org/10.29264/jiam.v6i2.7009</w:t>
        </w:r>
      </w:hyperlink>
    </w:p>
    <w:sectPr w:rsidR="00D641B9" w:rsidRPr="00D641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641B9"/>
    <w:rsid w:val="00012414"/>
    <w:rsid w:val="00D641B9"/>
    <w:rsid w:val="00D7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C466"/>
  <w15:chartTrackingRefBased/>
  <w15:docId w15:val="{813E0F2B-F3AD-4B0F-B571-50A3DDF6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641B9"/>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paragraph" w:styleId="Heading4">
    <w:name w:val="heading 4"/>
    <w:basedOn w:val="Normal"/>
    <w:link w:val="Heading4Char"/>
    <w:uiPriority w:val="9"/>
    <w:qFormat/>
    <w:rsid w:val="00D641B9"/>
    <w:pPr>
      <w:spacing w:before="100" w:beforeAutospacing="1" w:after="100" w:afterAutospacing="1" w:line="240" w:lineRule="auto"/>
      <w:outlineLvl w:val="3"/>
    </w:pPr>
    <w:rPr>
      <w:rFonts w:ascii="Times New Roman" w:eastAsia="Times New Roman" w:hAnsi="Times New Roman" w:cs="Times New Roman"/>
      <w:b/>
      <w:bCs/>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41B9"/>
    <w:rPr>
      <w:color w:val="0000FF"/>
      <w:u w:val="single"/>
    </w:rPr>
  </w:style>
  <w:style w:type="character" w:customStyle="1" w:styleId="Heading3Char">
    <w:name w:val="Heading 3 Char"/>
    <w:basedOn w:val="DefaultParagraphFont"/>
    <w:link w:val="Heading3"/>
    <w:uiPriority w:val="9"/>
    <w:rsid w:val="00D641B9"/>
    <w:rPr>
      <w:rFonts w:ascii="Times New Roman" w:eastAsia="Times New Roman" w:hAnsi="Times New Roman" w:cs="Times New Roman"/>
      <w:b/>
      <w:bCs/>
      <w:sz w:val="27"/>
      <w:szCs w:val="27"/>
      <w:lang w:val="en-ID" w:eastAsia="en-ID"/>
    </w:rPr>
  </w:style>
  <w:style w:type="character" w:customStyle="1" w:styleId="Heading4Char">
    <w:name w:val="Heading 4 Char"/>
    <w:basedOn w:val="DefaultParagraphFont"/>
    <w:link w:val="Heading4"/>
    <w:uiPriority w:val="9"/>
    <w:rsid w:val="00D641B9"/>
    <w:rPr>
      <w:rFonts w:ascii="Times New Roman" w:eastAsia="Times New Roman" w:hAnsi="Times New Roman" w:cs="Times New Roman"/>
      <w:b/>
      <w:bCs/>
      <w:sz w:val="24"/>
      <w:szCs w:val="24"/>
      <w:lang w:val="en-ID" w:eastAsia="en-ID"/>
    </w:rPr>
  </w:style>
  <w:style w:type="character" w:styleId="Emphasis">
    <w:name w:val="Emphasis"/>
    <w:basedOn w:val="DefaultParagraphFont"/>
    <w:uiPriority w:val="20"/>
    <w:qFormat/>
    <w:rsid w:val="00D641B9"/>
    <w:rPr>
      <w:i/>
      <w:iCs/>
    </w:rPr>
  </w:style>
  <w:style w:type="paragraph" w:styleId="NormalWeb">
    <w:name w:val="Normal (Web)"/>
    <w:basedOn w:val="Normal"/>
    <w:uiPriority w:val="99"/>
    <w:semiHidden/>
    <w:unhideWhenUsed/>
    <w:rsid w:val="00D641B9"/>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90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x.doi.org/10.29264/jiam.v6i2.7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5413</Characters>
  <Application>Microsoft Office Word</Application>
  <DocSecurity>0</DocSecurity>
  <Lines>45</Lines>
  <Paragraphs>12</Paragraphs>
  <ScaleCrop>false</ScaleCrop>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 480</dc:creator>
  <cp:keywords/>
  <dc:description/>
  <cp:lastModifiedBy>Sept 480</cp:lastModifiedBy>
  <cp:revision>1</cp:revision>
  <dcterms:created xsi:type="dcterms:W3CDTF">2022-03-16T10:39:00Z</dcterms:created>
  <dcterms:modified xsi:type="dcterms:W3CDTF">2022-03-16T10:40:00Z</dcterms:modified>
</cp:coreProperties>
</file>