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left="0" w:leftChars="-100" w:hanging="240" w:hangingChars="100"/>
        <w:jc w:val="center"/>
        <w:rPr>
          <w:rFonts w:hint="default" w:ascii="Bookman Old Style" w:hAnsi="Bookman Old Style"/>
          <w:b/>
          <w:bCs/>
          <w:i w:val="0"/>
          <w:iCs w:val="0"/>
          <w:u w:val="none"/>
          <w:lang w:val="en-US"/>
        </w:rPr>
      </w:pPr>
      <w:r>
        <w:rPr>
          <w:rFonts w:hint="default" w:ascii="Bookman Old Style" w:hAnsi="Bookman Old Style"/>
          <w:b/>
          <w:bCs/>
          <w:i w:val="0"/>
          <w:iCs w:val="0"/>
          <w:u w:val="none"/>
          <w:lang w:val="en-US"/>
        </w:rPr>
        <w:t>KEMENTERIAN PENDIDIKAN, KEBUDAYAAN, RISET DAN TEKNOLOGI</w:t>
      </w:r>
    </w:p>
    <w:p>
      <w:pPr>
        <w:spacing w:line="360" w:lineRule="auto"/>
        <w:jc w:val="center"/>
        <w:rPr>
          <w:rFonts w:hint="default" w:ascii="Bookman Old Style" w:hAnsi="Bookman Old Style"/>
          <w:b/>
          <w:bCs/>
          <w:i w:val="0"/>
          <w:iCs w:val="0"/>
          <w:u w:val="none"/>
          <w:lang w:val="en-US"/>
        </w:rPr>
      </w:pPr>
      <w:r>
        <w:rPr>
          <w:rFonts w:hint="default" w:ascii="Bookman Old Style" w:hAnsi="Bookman Old Style"/>
          <w:b/>
          <w:bCs/>
          <w:i w:val="0"/>
          <w:iCs w:val="0"/>
          <w:u w:val="none"/>
          <w:lang w:val="en-US"/>
        </w:rPr>
        <w:t>UNIVERITAS MULAWARMAN</w:t>
      </w:r>
    </w:p>
    <w:p>
      <w:pPr>
        <w:tabs>
          <w:tab w:val="left" w:pos="240"/>
        </w:tabs>
        <w:spacing w:line="360" w:lineRule="auto"/>
        <w:jc w:val="center"/>
        <w:rPr>
          <w:rFonts w:hint="default" w:ascii="Bookman Old Style" w:hAnsi="Bookman Old Style"/>
          <w:b/>
          <w:bCs/>
          <w:lang w:val="en-US"/>
        </w:rPr>
      </w:pPr>
      <w:r>
        <w:rPr>
          <w:rFonts w:hint="default" w:ascii="Bookman Old Style" w:hAnsi="Bookman Old Style"/>
          <w:b/>
          <w:bCs/>
          <w:i w:val="0"/>
          <w:iCs w:val="0"/>
          <w:u w:val="none"/>
          <w:lang w:val="en-US"/>
        </w:rPr>
        <w:t>HUBUNGAN INTERNASI</w:t>
      </w:r>
      <w:r>
        <w:rPr>
          <w:rFonts w:hint="default" w:ascii="Bookman Old Style" w:hAnsi="Bookman Old Style"/>
          <w:b/>
          <w:bCs/>
          <w:lang w:val="en-US"/>
        </w:rPr>
        <w:t>ONAL</w:t>
      </w:r>
    </w:p>
    <w:p>
      <w:pPr>
        <w:spacing w:line="360" w:lineRule="auto"/>
        <w:jc w:val="center"/>
        <w:rPr>
          <w:rFonts w:ascii="Bookman Old Style" w:hAnsi="Bookman Old Style"/>
          <w:b/>
          <w:bCs/>
        </w:rPr>
      </w:pPr>
    </w:p>
    <w:p>
      <w:pPr>
        <w:spacing w:line="360" w:lineRule="auto"/>
        <w:jc w:val="center"/>
        <w:rPr>
          <w:rFonts w:ascii="Bookman Old Style" w:hAnsi="Bookman Old Style"/>
          <w:b/>
          <w:bCs/>
        </w:rPr>
      </w:pPr>
      <w:r>
        <w:rPr>
          <w:rFonts w:ascii="Bookman Old Style" w:hAnsi="Bookman Old Style"/>
          <w:b/>
          <w:bCs/>
        </w:rPr>
        <w:t>RENCANA PEMBELAJARAN SEMESTER</w:t>
      </w:r>
    </w:p>
    <w:p>
      <w:pPr>
        <w:spacing w:line="360" w:lineRule="auto"/>
        <w:jc w:val="center"/>
        <w:rPr>
          <w:rFonts w:ascii="Bookman Old Style" w:hAnsi="Bookman Old Style"/>
          <w:b/>
          <w:bCs/>
        </w:rPr>
      </w:pPr>
      <w:r>
        <w:rPr>
          <w:rFonts w:ascii="Bookman Old Style" w:hAnsi="Bookman Old Style"/>
          <w:b/>
          <w:bCs/>
        </w:rPr>
        <w:t>(RPS)</w:t>
      </w:r>
    </w:p>
    <w:p>
      <w:pPr>
        <w:jc w:val="both"/>
        <w:rPr>
          <w:rFonts w:ascii="Bookman Old Style" w:hAnsi="Bookman Old Style"/>
          <w:lang w:val="id-ID"/>
        </w:rPr>
      </w:pPr>
      <w:r>
        <w:rPr>
          <w:rFonts w:ascii="Bookman Old Style" w:hAnsi="Bookman Old Style"/>
        </w:rPr>
        <w:t>Perguruan Tinggi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  <w:lang w:val="id-ID"/>
        </w:rPr>
        <w:tab/>
      </w:r>
      <w:r>
        <w:rPr>
          <w:rFonts w:ascii="Bookman Old Style" w:hAnsi="Bookman Old Style"/>
          <w:lang w:val="id-ID"/>
        </w:rPr>
        <w:t xml:space="preserve">   </w:t>
      </w:r>
      <w:r>
        <w:rPr>
          <w:rFonts w:ascii="Bookman Old Style" w:hAnsi="Bookman Old Style"/>
        </w:rPr>
        <w:t xml:space="preserve">: </w:t>
      </w:r>
      <w:r>
        <w:rPr>
          <w:rFonts w:ascii="Bookman Old Style" w:hAnsi="Bookman Old Style"/>
          <w:lang w:val="id-ID"/>
        </w:rPr>
        <w:t>Universitas Mulawarman</w:t>
      </w:r>
    </w:p>
    <w:p>
      <w:pPr>
        <w:ind w:left="3119" w:hanging="3119"/>
        <w:rPr>
          <w:rFonts w:ascii="Bookman Old Style" w:hAnsi="Bookman Old Style"/>
        </w:rPr>
      </w:pPr>
      <w:r>
        <w:rPr>
          <w:rFonts w:ascii="Bookman Old Style" w:hAnsi="Bookman Old Style"/>
          <w:lang w:val="id-ID"/>
        </w:rPr>
        <w:t>Fakultas</w:t>
      </w:r>
      <w:r>
        <w:rPr>
          <w:rFonts w:ascii="Bookman Old Style" w:hAnsi="Bookman Old Style"/>
          <w:lang w:val="id-ID"/>
        </w:rPr>
        <w:tab/>
      </w:r>
      <w:r>
        <w:rPr>
          <w:rFonts w:ascii="Bookman Old Style" w:hAnsi="Bookman Old Style"/>
          <w:lang w:val="id-ID"/>
        </w:rPr>
        <w:t>:</w:t>
      </w:r>
      <w:r>
        <w:rPr>
          <w:rFonts w:ascii="Bookman Old Style" w:hAnsi="Bookman Old Style"/>
        </w:rPr>
        <w:t xml:space="preserve"> Ilmu Sosisal dan Ilmu Politik</w:t>
      </w:r>
    </w:p>
    <w:p>
      <w:pPr>
        <w:ind w:left="3119" w:hanging="3119"/>
        <w:rPr>
          <w:rFonts w:ascii="Bookman Old Style" w:hAnsi="Bookman Old Style"/>
        </w:rPr>
      </w:pPr>
      <w:r>
        <w:rPr>
          <w:rFonts w:ascii="Bookman Old Style" w:hAnsi="Bookman Old Style"/>
        </w:rPr>
        <w:t>Jurusan/Program Studi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>:</w:t>
      </w:r>
      <w:r>
        <w:rPr>
          <w:rFonts w:ascii="Bookman Old Style" w:hAnsi="Bookman Old Style"/>
          <w:lang w:val="id-ID"/>
        </w:rPr>
        <w:t xml:space="preserve"> </w:t>
      </w:r>
      <w:r>
        <w:rPr>
          <w:rFonts w:ascii="Bookman Old Style" w:hAnsi="Bookman Old Style"/>
        </w:rPr>
        <w:t>Hubungan Internasional</w:t>
      </w:r>
    </w:p>
    <w:p>
      <w:pPr>
        <w:ind w:left="3119" w:hanging="3119"/>
        <w:rPr>
          <w:rFonts w:hint="default" w:ascii="Bookman Old Style" w:hAnsi="Bookman Old Style"/>
          <w:lang w:val="en-US"/>
        </w:rPr>
      </w:pPr>
      <w:r>
        <w:rPr>
          <w:rFonts w:ascii="Bookman Old Style" w:hAnsi="Bookman Old Style"/>
          <w:lang w:val="id-ID"/>
        </w:rPr>
        <w:t>Matakuliah</w:t>
      </w:r>
      <w:r>
        <w:rPr>
          <w:rFonts w:ascii="Bookman Old Style" w:hAnsi="Bookman Old Style"/>
          <w:lang w:val="id-ID"/>
        </w:rPr>
        <w:tab/>
      </w:r>
      <w:r>
        <w:rPr>
          <w:rFonts w:ascii="Bookman Old Style" w:hAnsi="Bookman Old Style"/>
          <w:lang w:val="id-ID"/>
        </w:rPr>
        <w:t xml:space="preserve">: </w:t>
      </w:r>
      <w:r>
        <w:rPr>
          <w:rFonts w:hint="default" w:ascii="Bookman Old Style" w:hAnsi="Bookman Old Style"/>
          <w:lang w:val="en-US"/>
        </w:rPr>
        <w:t>Hukum Humaniter</w:t>
      </w:r>
    </w:p>
    <w:p>
      <w:pPr>
        <w:ind w:left="3119" w:hanging="3119"/>
        <w:rPr>
          <w:rFonts w:hint="default" w:ascii="Bookman Old Style" w:hAnsi="Bookman Old Style"/>
          <w:bCs/>
          <w:color w:val="auto"/>
          <w:lang w:val="en-US"/>
        </w:rPr>
      </w:pPr>
      <w:r>
        <w:rPr>
          <w:rFonts w:ascii="Bookman Old Style" w:hAnsi="Bookman Old Style"/>
          <w:color w:val="auto"/>
          <w:lang w:val="id-ID"/>
        </w:rPr>
        <w:t>Kode Matakuliah</w:t>
      </w:r>
      <w:r>
        <w:rPr>
          <w:rFonts w:ascii="Bookman Old Style" w:hAnsi="Bookman Old Style"/>
          <w:color w:val="auto"/>
          <w:lang w:val="id-ID"/>
        </w:rPr>
        <w:tab/>
      </w:r>
      <w:r>
        <w:rPr>
          <w:rFonts w:ascii="Bookman Old Style" w:hAnsi="Bookman Old Style"/>
          <w:color w:val="auto"/>
          <w:lang w:val="id-ID"/>
        </w:rPr>
        <w:t xml:space="preserve">: </w:t>
      </w:r>
      <w:r>
        <w:rPr>
          <w:rFonts w:hint="default" w:ascii="Bookman Old Style" w:hAnsi="Bookman Old Style"/>
          <w:color w:val="auto"/>
          <w:lang w:val="en-US"/>
        </w:rPr>
        <w:t>02045329</w:t>
      </w:r>
    </w:p>
    <w:p>
      <w:pPr>
        <w:ind w:left="3119" w:hanging="3119"/>
        <w:rPr>
          <w:rFonts w:ascii="Bookman Old Style" w:hAnsi="Bookman Old Style"/>
        </w:rPr>
      </w:pPr>
      <w:r>
        <w:rPr>
          <w:rFonts w:ascii="Bookman Old Style" w:hAnsi="Bookman Old Style"/>
          <w:lang w:val="id-ID"/>
        </w:rPr>
        <w:t>SKS</w:t>
      </w:r>
      <w:r>
        <w:rPr>
          <w:rFonts w:ascii="Bookman Old Style" w:hAnsi="Bookman Old Style"/>
          <w:lang w:val="id-ID"/>
        </w:rPr>
        <w:tab/>
      </w:r>
      <w:r>
        <w:rPr>
          <w:rFonts w:ascii="Bookman Old Style" w:hAnsi="Bookman Old Style"/>
          <w:lang w:val="id-ID"/>
        </w:rPr>
        <w:t xml:space="preserve">: </w:t>
      </w:r>
      <w:r>
        <w:rPr>
          <w:rFonts w:ascii="Bookman Old Style" w:hAnsi="Bookman Old Style"/>
        </w:rPr>
        <w:t xml:space="preserve"> 3 SKS</w:t>
      </w:r>
    </w:p>
    <w:p>
      <w:pPr>
        <w:ind w:left="3119" w:hanging="3119"/>
        <w:rPr>
          <w:rFonts w:ascii="Bookman Old Style" w:hAnsi="Bookman Old Style"/>
        </w:rPr>
      </w:pPr>
      <w:r>
        <w:rPr>
          <w:rFonts w:ascii="Bookman Old Style" w:hAnsi="Bookman Old Style"/>
          <w:lang w:val="id-ID"/>
        </w:rPr>
        <w:t>Dosen Pengampu</w:t>
      </w:r>
      <w:r>
        <w:rPr>
          <w:rFonts w:ascii="Bookman Old Style" w:hAnsi="Bookman Old Style"/>
          <w:lang w:val="id-ID"/>
        </w:rPr>
        <w:tab/>
      </w:r>
      <w:r>
        <w:rPr>
          <w:rFonts w:ascii="Bookman Old Style" w:hAnsi="Bookman Old Style"/>
          <w:lang w:val="id-ID"/>
        </w:rPr>
        <w:t xml:space="preserve">: </w:t>
      </w:r>
      <w:r>
        <w:rPr>
          <w:rFonts w:ascii="Bookman Old Style" w:hAnsi="Bookman Old Style"/>
        </w:rPr>
        <w:t>Etha Pasan S.IP., MA</w:t>
      </w:r>
    </w:p>
    <w:p>
      <w:pPr>
        <w:tabs>
          <w:tab w:val="left" w:pos="3240"/>
        </w:tabs>
        <w:spacing w:line="360" w:lineRule="auto"/>
        <w:ind w:left="3119" w:hanging="3119"/>
        <w:rPr>
          <w:rFonts w:hint="default" w:ascii="Bookman Old Style" w:hAnsi="Bookman Old Style"/>
          <w:lang w:val="en-US"/>
        </w:rPr>
      </w:pP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hint="default" w:ascii="Bookman Old Style" w:hAnsi="Bookman Old Style"/>
          <w:lang w:val="en-US"/>
        </w:rPr>
        <w:t>Frentika W S.IP., MA</w:t>
      </w:r>
    </w:p>
    <w:p>
      <w:pPr>
        <w:ind w:left="3119" w:hanging="3119"/>
        <w:rPr>
          <w:rFonts w:ascii="Bookman Old Style" w:hAnsi="Bookman Old Style"/>
        </w:rPr>
      </w:pPr>
    </w:p>
    <w:p>
      <w:pPr>
        <w:jc w:val="both"/>
        <w:rPr>
          <w:rFonts w:ascii="Bookman Old Style" w:hAnsi="Bookman Old Style"/>
        </w:rPr>
      </w:pPr>
    </w:p>
    <w:p>
      <w:pPr>
        <w:jc w:val="both"/>
        <w:rPr>
          <w:rFonts w:ascii="Bookman Old Style" w:hAnsi="Bookman Old Style"/>
        </w:rPr>
      </w:pPr>
    </w:p>
    <w:p>
      <w:pPr>
        <w:jc w:val="both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>Capaian Pembelajaran (CPL) Program Studi</w:t>
      </w:r>
      <w:r>
        <w:rPr>
          <w:rFonts w:ascii="Bookman Old Style" w:hAnsi="Bookman Old Style"/>
          <w:b/>
          <w:sz w:val="22"/>
          <w:szCs w:val="22"/>
        </w:rPr>
        <w:tab/>
      </w:r>
      <w:r>
        <w:rPr>
          <w:rFonts w:ascii="Bookman Old Style" w:hAnsi="Bookman Old Style"/>
          <w:b/>
          <w:sz w:val="22"/>
          <w:szCs w:val="22"/>
        </w:rPr>
        <w:t xml:space="preserve">: </w:t>
      </w:r>
    </w:p>
    <w:p>
      <w:pPr>
        <w:pStyle w:val="8"/>
        <w:numPr>
          <w:ilvl w:val="0"/>
          <w:numId w:val="1"/>
        </w:numPr>
        <w:spacing w:line="276" w:lineRule="auto"/>
        <w:contextualSpacing/>
        <w:jc w:val="both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>SIKAP:</w:t>
      </w:r>
    </w:p>
    <w:p>
      <w:pPr>
        <w:numPr>
          <w:ilvl w:val="0"/>
          <w:numId w:val="2"/>
        </w:numPr>
        <w:spacing w:line="276" w:lineRule="auto"/>
        <w:ind w:left="1440"/>
        <w:jc w:val="both"/>
        <w:rPr>
          <w:rFonts w:ascii="Bookman Old Style" w:hAnsi="Bookman Old Style" w:cs="Arial"/>
          <w:sz w:val="22"/>
          <w:szCs w:val="22"/>
        </w:rPr>
      </w:pPr>
      <w:r>
        <w:rPr>
          <w:rFonts w:ascii="Bookman Old Style" w:hAnsi="Bookman Old Style" w:cs="Arial"/>
          <w:sz w:val="22"/>
          <w:szCs w:val="22"/>
        </w:rPr>
        <w:t>Memiliki karakter dan nilai-nilai dalam bidang keilmuan hubungan internasional</w:t>
      </w:r>
    </w:p>
    <w:p>
      <w:pPr>
        <w:numPr>
          <w:ilvl w:val="0"/>
          <w:numId w:val="2"/>
        </w:numPr>
        <w:spacing w:line="276" w:lineRule="auto"/>
        <w:ind w:left="1440"/>
        <w:jc w:val="both"/>
        <w:rPr>
          <w:rFonts w:ascii="Bookman Old Style" w:hAnsi="Bookman Old Style" w:cs="Arial"/>
          <w:sz w:val="22"/>
          <w:szCs w:val="22"/>
        </w:rPr>
      </w:pPr>
      <w:r>
        <w:rPr>
          <w:rFonts w:ascii="Bookman Old Style" w:hAnsi="Bookman Old Style" w:cs="Arial"/>
          <w:sz w:val="22"/>
          <w:szCs w:val="22"/>
        </w:rPr>
        <w:t>Memiliki kepedulian terhadap masalah lingkungan hutan hujan tropis</w:t>
      </w:r>
    </w:p>
    <w:p>
      <w:pPr>
        <w:numPr>
          <w:ilvl w:val="0"/>
          <w:numId w:val="2"/>
        </w:numPr>
        <w:spacing w:line="276" w:lineRule="auto"/>
        <w:ind w:left="1440"/>
        <w:jc w:val="both"/>
        <w:rPr>
          <w:rFonts w:ascii="Bookman Old Style" w:hAnsi="Bookman Old Style" w:cs="Arial"/>
          <w:sz w:val="22"/>
          <w:szCs w:val="22"/>
        </w:rPr>
      </w:pPr>
      <w:r>
        <w:rPr>
          <w:rFonts w:ascii="Bookman Old Style" w:hAnsi="Bookman Old Style" w:cs="Arial"/>
          <w:sz w:val="22"/>
          <w:szCs w:val="22"/>
        </w:rPr>
        <w:t>Memiliki nilai-nilai dan etika lingkungan</w:t>
      </w:r>
    </w:p>
    <w:p>
      <w:pPr>
        <w:numPr>
          <w:ilvl w:val="0"/>
          <w:numId w:val="2"/>
        </w:numPr>
        <w:spacing w:line="276" w:lineRule="auto"/>
        <w:ind w:left="1440"/>
        <w:jc w:val="both"/>
        <w:rPr>
          <w:rFonts w:ascii="Bookman Old Style" w:hAnsi="Bookman Old Style" w:cs="Arial"/>
          <w:sz w:val="22"/>
          <w:szCs w:val="22"/>
        </w:rPr>
      </w:pPr>
      <w:r>
        <w:rPr>
          <w:rFonts w:ascii="Bookman Old Style" w:hAnsi="Bookman Old Style" w:cs="Arial"/>
          <w:sz w:val="22"/>
          <w:szCs w:val="22"/>
        </w:rPr>
        <w:t>Memiliki kepedulian terhadap isu dan permasalahan di wilayah Perbatasan</w:t>
      </w:r>
    </w:p>
    <w:p>
      <w:pPr>
        <w:ind w:left="720" w:hanging="360"/>
        <w:jc w:val="both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 xml:space="preserve">2) </w:t>
      </w:r>
      <w:r>
        <w:rPr>
          <w:rFonts w:ascii="Bookman Old Style" w:hAnsi="Bookman Old Style"/>
          <w:b/>
          <w:sz w:val="22"/>
          <w:szCs w:val="22"/>
        </w:rPr>
        <w:tab/>
      </w:r>
      <w:r>
        <w:rPr>
          <w:rFonts w:ascii="Bookman Old Style" w:hAnsi="Bookman Old Style"/>
          <w:b/>
          <w:sz w:val="22"/>
          <w:szCs w:val="22"/>
        </w:rPr>
        <w:t>PENGETAHUAN:</w:t>
      </w:r>
    </w:p>
    <w:p>
      <w:pPr>
        <w:numPr>
          <w:ilvl w:val="1"/>
          <w:numId w:val="3"/>
        </w:numPr>
        <w:spacing w:line="276" w:lineRule="auto"/>
        <w:jc w:val="both"/>
        <w:rPr>
          <w:rFonts w:ascii="Bookman Old Style" w:hAnsi="Bookman Old Style" w:cs="Arial"/>
          <w:sz w:val="22"/>
          <w:szCs w:val="22"/>
        </w:rPr>
      </w:pPr>
      <w:r>
        <w:t>Menghasilkan lulusan yang memiliki kompetensi di bidang HI.</w:t>
      </w:r>
    </w:p>
    <w:p>
      <w:pPr>
        <w:numPr>
          <w:ilvl w:val="1"/>
          <w:numId w:val="3"/>
        </w:numPr>
        <w:spacing w:line="276" w:lineRule="auto"/>
        <w:jc w:val="both"/>
        <w:rPr>
          <w:rFonts w:ascii="Bookman Old Style" w:hAnsi="Bookman Old Style" w:cs="Arial"/>
          <w:sz w:val="22"/>
          <w:szCs w:val="22"/>
        </w:rPr>
      </w:pPr>
      <w:r>
        <w:rPr>
          <w:rFonts w:ascii="Bookman Old Style" w:hAnsi="Bookman Old Style" w:cs="Arial"/>
          <w:sz w:val="22"/>
          <w:szCs w:val="22"/>
        </w:rPr>
        <w:t>Menghasilkan lulusan yang memahami aspek-aspek lingkungan hutan hujan tropis</w:t>
      </w:r>
    </w:p>
    <w:p>
      <w:pPr>
        <w:numPr>
          <w:ilvl w:val="1"/>
          <w:numId w:val="3"/>
        </w:numPr>
        <w:spacing w:line="276" w:lineRule="auto"/>
        <w:jc w:val="both"/>
        <w:rPr>
          <w:rFonts w:ascii="Bookman Old Style" w:hAnsi="Bookman Old Style" w:cs="Arial"/>
          <w:sz w:val="22"/>
          <w:szCs w:val="22"/>
        </w:rPr>
      </w:pPr>
      <w:r>
        <w:rPr>
          <w:rFonts w:ascii="Bookman Old Style" w:hAnsi="Bookman Old Style" w:cs="Arial"/>
          <w:sz w:val="22"/>
          <w:szCs w:val="22"/>
        </w:rPr>
        <w:t>Menghasilkan lulusan yang memahami isu dan permasalahan wilayah perbatasan</w:t>
      </w:r>
    </w:p>
    <w:p>
      <w:pPr>
        <w:ind w:left="720" w:hanging="360"/>
        <w:jc w:val="both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 xml:space="preserve">3) </w:t>
      </w:r>
      <w:r>
        <w:rPr>
          <w:rFonts w:ascii="Bookman Old Style" w:hAnsi="Bookman Old Style"/>
          <w:b/>
          <w:sz w:val="22"/>
          <w:szCs w:val="22"/>
        </w:rPr>
        <w:tab/>
      </w:r>
      <w:r>
        <w:rPr>
          <w:rFonts w:ascii="Bookman Old Style" w:hAnsi="Bookman Old Style"/>
          <w:b/>
          <w:sz w:val="22"/>
          <w:szCs w:val="22"/>
        </w:rPr>
        <w:t>KETERAMPILAN UMUM:</w:t>
      </w:r>
    </w:p>
    <w:p>
      <w:pPr>
        <w:numPr>
          <w:ilvl w:val="0"/>
          <w:numId w:val="4"/>
        </w:numPr>
        <w:spacing w:line="276" w:lineRule="auto"/>
        <w:ind w:left="1440"/>
        <w:jc w:val="both"/>
        <w:rPr>
          <w:rFonts w:ascii="Bookman Old Style" w:hAnsi="Bookman Old Style" w:cs="Arial"/>
          <w:sz w:val="22"/>
          <w:szCs w:val="22"/>
        </w:rPr>
      </w:pPr>
      <w:r>
        <w:rPr>
          <w:rFonts w:ascii="Bookman Old Style" w:hAnsi="Bookman Old Style" w:cs="Arial"/>
          <w:sz w:val="22"/>
          <w:szCs w:val="22"/>
        </w:rPr>
        <w:t>Menghasilkan lulusan yang memiliki pengetahuan dan keterampilan dalam hubungan internasional</w:t>
      </w:r>
    </w:p>
    <w:p>
      <w:pPr>
        <w:numPr>
          <w:ilvl w:val="0"/>
          <w:numId w:val="4"/>
        </w:numPr>
        <w:spacing w:line="276" w:lineRule="auto"/>
        <w:ind w:left="1440"/>
        <w:jc w:val="both"/>
        <w:rPr>
          <w:rFonts w:ascii="Bookman Old Style" w:hAnsi="Bookman Old Style" w:cs="Arial"/>
          <w:sz w:val="22"/>
          <w:szCs w:val="22"/>
        </w:rPr>
      </w:pPr>
      <w:r>
        <w:rPr>
          <w:rFonts w:ascii="Bookman Old Style" w:hAnsi="Bookman Old Style" w:cs="Arial"/>
          <w:sz w:val="22"/>
          <w:szCs w:val="22"/>
        </w:rPr>
        <w:t>Menghasilkan lulusan yang memiliki kemampuan dalam analisis persoalan-persoalan hutan hujan tropis</w:t>
      </w:r>
    </w:p>
    <w:p>
      <w:pPr>
        <w:numPr>
          <w:ilvl w:val="0"/>
          <w:numId w:val="4"/>
        </w:numPr>
        <w:spacing w:line="276" w:lineRule="auto"/>
        <w:ind w:left="1440"/>
        <w:jc w:val="both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 w:cs="Arial"/>
          <w:sz w:val="22"/>
          <w:szCs w:val="22"/>
        </w:rPr>
        <w:t>Menghasilkan lulusan yang memiliki kemampuan analisis mengenai masalah wilayah perbatasan</w:t>
      </w:r>
    </w:p>
    <w:p>
      <w:pPr>
        <w:tabs>
          <w:tab w:val="left" w:pos="720"/>
        </w:tabs>
        <w:ind w:left="720" w:hanging="360"/>
        <w:jc w:val="both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>4)</w:t>
      </w:r>
      <w:r>
        <w:rPr>
          <w:rFonts w:ascii="Bookman Old Style" w:hAnsi="Bookman Old Style"/>
          <w:b/>
          <w:sz w:val="22"/>
          <w:szCs w:val="22"/>
        </w:rPr>
        <w:tab/>
      </w:r>
      <w:r>
        <w:rPr>
          <w:rFonts w:ascii="Bookman Old Style" w:hAnsi="Bookman Old Style"/>
          <w:b/>
          <w:sz w:val="22"/>
          <w:szCs w:val="22"/>
        </w:rPr>
        <w:t xml:space="preserve">KETERAMPILAN KHUSUS: </w:t>
      </w:r>
    </w:p>
    <w:p>
      <w:pPr>
        <w:numPr>
          <w:ilvl w:val="0"/>
          <w:numId w:val="5"/>
        </w:numPr>
        <w:spacing w:line="276" w:lineRule="auto"/>
        <w:jc w:val="both"/>
        <w:rPr>
          <w:rFonts w:ascii="Bookman Old Style" w:hAnsi="Bookman Old Style" w:cs="Arial"/>
          <w:sz w:val="22"/>
          <w:szCs w:val="22"/>
        </w:rPr>
      </w:pPr>
      <w:r>
        <w:rPr>
          <w:rFonts w:ascii="Bookman Old Style" w:hAnsi="Bookman Old Style" w:cs="Arial"/>
          <w:sz w:val="22"/>
          <w:szCs w:val="22"/>
        </w:rPr>
        <w:t>Memiliki keterampilan di bidang diplomasi</w:t>
      </w:r>
    </w:p>
    <w:p>
      <w:pPr>
        <w:numPr>
          <w:ilvl w:val="0"/>
          <w:numId w:val="5"/>
        </w:numPr>
        <w:spacing w:line="276" w:lineRule="auto"/>
        <w:jc w:val="both"/>
        <w:rPr>
          <w:rFonts w:ascii="Bookman Old Style" w:hAnsi="Bookman Old Style" w:cs="Arial"/>
          <w:sz w:val="22"/>
          <w:szCs w:val="22"/>
        </w:rPr>
      </w:pPr>
      <w:r>
        <w:rPr>
          <w:rFonts w:ascii="Bookman Old Style" w:hAnsi="Bookman Old Style" w:cs="Arial"/>
          <w:sz w:val="22"/>
          <w:szCs w:val="22"/>
        </w:rPr>
        <w:t>Memiliki keterampilan untuk menangani persoalan-persoalan hutan hujan tropis secara internasional</w:t>
      </w:r>
    </w:p>
    <w:p>
      <w:pPr>
        <w:numPr>
          <w:ilvl w:val="0"/>
          <w:numId w:val="5"/>
        </w:numPr>
        <w:spacing w:line="276" w:lineRule="auto"/>
        <w:jc w:val="both"/>
        <w:rPr>
          <w:rFonts w:ascii="Bookman Old Style" w:hAnsi="Bookman Old Style" w:cs="Arial"/>
          <w:sz w:val="22"/>
          <w:szCs w:val="22"/>
        </w:rPr>
      </w:pPr>
      <w:r>
        <w:rPr>
          <w:rFonts w:ascii="Bookman Old Style" w:hAnsi="Bookman Old Style" w:cs="Arial"/>
          <w:sz w:val="22"/>
          <w:szCs w:val="22"/>
        </w:rPr>
        <w:t>Memiliki keterampilan untuk menangani persoalan-persoalan di wilayah perbatasan</w:t>
      </w:r>
    </w:p>
    <w:p>
      <w:pPr>
        <w:spacing w:line="276" w:lineRule="auto"/>
        <w:ind w:left="1440"/>
        <w:jc w:val="both"/>
        <w:rPr>
          <w:rFonts w:ascii="Bookman Old Style" w:hAnsi="Bookman Old Style" w:cs="Arial"/>
          <w:sz w:val="22"/>
          <w:szCs w:val="22"/>
        </w:rPr>
      </w:pPr>
    </w:p>
    <w:p>
      <w:pPr>
        <w:spacing w:line="276" w:lineRule="auto"/>
        <w:ind w:left="2835" w:hanging="2835"/>
        <w:rPr>
          <w:rFonts w:ascii="Bookman Old Style" w:hAnsi="Bookman Old Style"/>
          <w:b/>
        </w:rPr>
      </w:pPr>
    </w:p>
    <w:p>
      <w:pPr>
        <w:spacing w:line="276" w:lineRule="auto"/>
        <w:ind w:left="2835" w:hanging="2835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Pola Ilmiah Pokok (PIP) Unmul yang Diintegrasikan :</w:t>
      </w:r>
    </w:p>
    <w:p>
      <w:pPr>
        <w:spacing w:line="276" w:lineRule="auto"/>
        <w:ind w:left="2835" w:hanging="2835"/>
        <w:rPr>
          <w:rFonts w:ascii="Bookman Old Style" w:hAnsi="Bookman Old Style"/>
          <w:sz w:val="22"/>
        </w:rPr>
      </w:pPr>
      <w:r>
        <w:rPr>
          <w:rFonts w:ascii="Bookman Old Style" w:hAnsi="Bookman Old Style"/>
          <w:sz w:val="22"/>
        </w:rPr>
        <w:t>Kajian Hutan Tropis basah dan Lingkungannya.</w:t>
      </w:r>
    </w:p>
    <w:p>
      <w:pPr>
        <w:pStyle w:val="8"/>
        <w:tabs>
          <w:tab w:val="left" w:pos="284"/>
        </w:tabs>
        <w:ind w:left="0"/>
        <w:jc w:val="both"/>
        <w:rPr>
          <w:rFonts w:ascii="Bookman Old Style" w:hAnsi="Bookman Old Style"/>
          <w:b/>
          <w:sz w:val="22"/>
          <w:szCs w:val="22"/>
        </w:rPr>
      </w:pPr>
    </w:p>
    <w:p>
      <w:pPr>
        <w:pStyle w:val="8"/>
        <w:tabs>
          <w:tab w:val="left" w:pos="284"/>
        </w:tabs>
        <w:ind w:left="0"/>
        <w:jc w:val="both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4"/>
          <w:szCs w:val="24"/>
        </w:rPr>
        <w:t>Capaian Pembelajaran Mata Kuliah (CPMK)</w:t>
      </w:r>
      <w:r>
        <w:rPr>
          <w:rFonts w:ascii="Bookman Old Style" w:hAnsi="Bookman Old Style"/>
          <w:b/>
          <w:sz w:val="22"/>
          <w:szCs w:val="22"/>
        </w:rPr>
        <w:t xml:space="preserve"> :</w:t>
      </w:r>
    </w:p>
    <w:p>
      <w:pPr>
        <w:pStyle w:val="8"/>
        <w:tabs>
          <w:tab w:val="left" w:pos="284"/>
        </w:tabs>
        <w:spacing w:after="240"/>
        <w:ind w:left="0"/>
        <w:jc w:val="both"/>
        <w:rPr>
          <w:rFonts w:hint="default" w:ascii="Bookman Old Style" w:hAnsi="Bookman Old Style" w:cs="Bookman Old Style"/>
          <w:sz w:val="22"/>
          <w:szCs w:val="22"/>
        </w:rPr>
      </w:pPr>
      <w:r>
        <w:rPr>
          <w:rFonts w:hint="default" w:ascii="Bookman Old Style" w:hAnsi="Bookman Old Style" w:cs="Bookman Old Style"/>
          <w:sz w:val="22"/>
          <w:szCs w:val="22"/>
        </w:rPr>
        <w:t>Setelah mengikuti perkuliahan ini, mahasiswa  diharapkan mampu  menganalisis Hukum Humaniter sebagai sebuah cabang ilmu hukum yang membahas aturan-aturan dalam Perang dan Mekanisme Penyelesaian serta Fenomena yang terdapat dalam interaksi negara</w:t>
      </w:r>
    </w:p>
    <w:p>
      <w:pPr>
        <w:jc w:val="both"/>
        <w:rPr>
          <w:rFonts w:ascii="Bookman Old Style" w:hAnsi="Bookman Old Style"/>
          <w:sz w:val="22"/>
          <w:szCs w:val="22"/>
        </w:rPr>
      </w:pPr>
    </w:p>
    <w:p>
      <w:pPr>
        <w:jc w:val="center"/>
        <w:rPr>
          <w:rFonts w:ascii="Cambria" w:hAnsi="Cambria"/>
          <w:b/>
          <w:sz w:val="22"/>
          <w:szCs w:val="22"/>
          <w:lang w:val="en-US"/>
        </w:rPr>
      </w:pPr>
    </w:p>
    <w:p>
      <w:pPr>
        <w:jc w:val="center"/>
        <w:rPr>
          <w:rFonts w:hint="default" w:ascii="Bookman Old Style" w:hAnsi="Bookman Old Style" w:cs="Bookman Old Style"/>
          <w:b/>
          <w:sz w:val="24"/>
          <w:szCs w:val="24"/>
          <w:lang w:val="en-US"/>
        </w:rPr>
      </w:pPr>
    </w:p>
    <w:p>
      <w:pPr>
        <w:spacing w:after="240"/>
        <w:rPr>
          <w:rFonts w:ascii="Cambria" w:hAnsi="Cambria"/>
          <w:sz w:val="22"/>
          <w:szCs w:val="22"/>
        </w:rPr>
      </w:pPr>
      <w:r>
        <w:rPr>
          <w:rFonts w:hint="default" w:ascii="Bookman Old Style" w:hAnsi="Bookman Old Style" w:cs="Bookman Old Style"/>
          <w:b/>
          <w:sz w:val="24"/>
          <w:szCs w:val="24"/>
          <w:lang w:val="en-US"/>
        </w:rPr>
        <w:t>Deskripsi Mata Kuliah</w:t>
      </w:r>
      <w:r>
        <w:rPr>
          <w:rFonts w:ascii="Cambria" w:hAnsi="Cambria"/>
          <w:b/>
          <w:sz w:val="22"/>
          <w:szCs w:val="22"/>
          <w:lang w:val="en-US"/>
        </w:rPr>
        <w:t xml:space="preserve">:  </w:t>
      </w:r>
      <w:r>
        <w:rPr>
          <w:rFonts w:ascii="Cambria" w:hAnsi="Cambria"/>
          <w:sz w:val="22"/>
          <w:szCs w:val="22"/>
          <w:lang w:val="en-US"/>
        </w:rPr>
        <w:t xml:space="preserve"> S</w:t>
      </w:r>
      <w:r>
        <w:rPr>
          <w:rFonts w:ascii="Cambria" w:hAnsi="Cambria"/>
          <w:sz w:val="22"/>
          <w:szCs w:val="22"/>
          <w:lang w:val="id-ID"/>
        </w:rPr>
        <w:t>etelah mempelajari mata kuliah ini mahasiswa mampu  memahami definisi Hukum Humaniter, sejarah perkembangan, prinsip-prinsip dasar, sumber hukum, aktivitas lembaga, perkembangan aktor konflik dan aplikasinya dalam contoh kasus sengketa / konflik.</w:t>
      </w:r>
      <w:bookmarkStart w:id="0" w:name="_GoBack"/>
      <w:bookmarkEnd w:id="0"/>
    </w:p>
    <w:p>
      <w:pPr>
        <w:rPr>
          <w:rFonts w:ascii="Cambria" w:hAnsi="Cambria"/>
          <w:b/>
          <w:sz w:val="22"/>
          <w:szCs w:val="22"/>
          <w:lang w:val="id-ID"/>
        </w:rPr>
      </w:pPr>
    </w:p>
    <w:p>
      <w:pPr>
        <w:jc w:val="both"/>
        <w:rPr>
          <w:rFonts w:hint="default" w:ascii="Bookman Old Style" w:hAnsi="Bookman Old Style" w:cs="Bookman Old Style"/>
          <w:sz w:val="24"/>
          <w:szCs w:val="24"/>
          <w:lang w:val="en-US"/>
        </w:rPr>
      </w:pPr>
      <w:r>
        <w:rPr>
          <w:rFonts w:hint="default" w:ascii="Bookman Old Style" w:hAnsi="Bookman Old Style" w:cs="Bookman Old Style"/>
          <w:b/>
          <w:sz w:val="24"/>
          <w:szCs w:val="24"/>
          <w:lang w:val="en-US"/>
        </w:rPr>
        <w:t>Daftar Referensi:</w:t>
      </w:r>
      <w:r>
        <w:rPr>
          <w:rFonts w:hint="default" w:ascii="Bookman Old Style" w:hAnsi="Bookman Old Style" w:cs="Bookman Old Style"/>
          <w:sz w:val="24"/>
          <w:szCs w:val="24"/>
          <w:lang w:val="id-ID"/>
        </w:rPr>
        <w:t xml:space="preserve"> </w:t>
      </w:r>
    </w:p>
    <w:p>
      <w:pPr>
        <w:ind w:firstLine="360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  <w:lang w:val="en-US"/>
        </w:rPr>
        <w:t xml:space="preserve">1. </w:t>
      </w:r>
      <w:r>
        <w:rPr>
          <w:rFonts w:ascii="Cambria" w:hAnsi="Cambria"/>
          <w:sz w:val="22"/>
          <w:szCs w:val="22"/>
          <w:lang w:val="id-ID"/>
        </w:rPr>
        <w:t>Ambarwati dkk, 2009, Hukum Humaniter Internasional dalam Studi Hubungan Internasional,  Jakarta : Rajawali Pers</w:t>
      </w:r>
    </w:p>
    <w:p>
      <w:pPr>
        <w:pStyle w:val="8"/>
        <w:numPr>
          <w:ilvl w:val="0"/>
          <w:numId w:val="6"/>
        </w:numPr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  <w:lang w:val="id-ID"/>
        </w:rPr>
        <w:t>Christopher Kinsey, 2006, Corporate Soldiers and International Security, The Rise of Private Military Companies, London: Routledge</w:t>
      </w:r>
    </w:p>
    <w:p>
      <w:pPr>
        <w:pStyle w:val="8"/>
        <w:numPr>
          <w:ilvl w:val="0"/>
          <w:numId w:val="6"/>
        </w:numPr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  <w:lang w:val="id-ID"/>
        </w:rPr>
        <w:t>Hannah Tonkin, 2011, State Control Over Private Military and Security Companies in Armed Conflict, NY: Cambridge Univ Press</w:t>
      </w:r>
    </w:p>
    <w:p>
      <w:pPr>
        <w:numPr>
          <w:ilvl w:val="0"/>
          <w:numId w:val="6"/>
        </w:numPr>
        <w:tabs>
          <w:tab w:val="left" w:pos="720"/>
        </w:tabs>
        <w:jc w:val="both"/>
        <w:rPr>
          <w:rFonts w:ascii="Cambria" w:hAnsi="Cambria"/>
          <w:sz w:val="22"/>
          <w:szCs w:val="22"/>
          <w:lang w:val="en-US"/>
        </w:rPr>
      </w:pPr>
      <w:r>
        <w:rPr>
          <w:rFonts w:ascii="Cambria" w:hAnsi="Cambria"/>
          <w:sz w:val="22"/>
          <w:szCs w:val="22"/>
          <w:lang w:val="id-ID"/>
        </w:rPr>
        <w:t>ICRC, 2008, Hukum Humaniter Internasional, Jakarta : ICRC</w:t>
      </w:r>
    </w:p>
    <w:p>
      <w:pPr>
        <w:numPr>
          <w:ilvl w:val="0"/>
          <w:numId w:val="6"/>
        </w:numPr>
        <w:tabs>
          <w:tab w:val="left" w:pos="720"/>
        </w:tabs>
        <w:jc w:val="both"/>
        <w:rPr>
          <w:rFonts w:ascii="Cambria" w:hAnsi="Cambria"/>
          <w:sz w:val="22"/>
          <w:szCs w:val="22"/>
          <w:lang w:val="en-US"/>
        </w:rPr>
      </w:pPr>
      <w:r>
        <w:rPr>
          <w:rFonts w:ascii="Cambria" w:hAnsi="Cambria"/>
          <w:sz w:val="22"/>
          <w:szCs w:val="22"/>
          <w:lang w:val="id-ID"/>
        </w:rPr>
        <w:t>Jenifer M. Wels, 2004, Humanitarian Intervention and International Relations, NY: Oxford Univ. Press</w:t>
      </w:r>
    </w:p>
    <w:p>
      <w:pPr>
        <w:numPr>
          <w:ilvl w:val="0"/>
          <w:numId w:val="6"/>
        </w:numPr>
        <w:tabs>
          <w:tab w:val="left" w:pos="720"/>
        </w:tabs>
        <w:jc w:val="both"/>
        <w:rPr>
          <w:rFonts w:ascii="Cambria" w:hAnsi="Cambria"/>
          <w:sz w:val="22"/>
          <w:szCs w:val="22"/>
          <w:lang w:val="en-US"/>
        </w:rPr>
      </w:pPr>
      <w:r>
        <w:rPr>
          <w:rFonts w:ascii="Cambria" w:hAnsi="Cambria"/>
          <w:sz w:val="22"/>
          <w:szCs w:val="22"/>
          <w:lang w:val="id-ID"/>
        </w:rPr>
        <w:t>KGPH, Haryomataram, 2012, Pengantar Hukum Humaniter, Jakarta : Rajawali Pers</w:t>
      </w:r>
    </w:p>
    <w:p>
      <w:pPr>
        <w:pStyle w:val="8"/>
        <w:numPr>
          <w:ilvl w:val="0"/>
          <w:numId w:val="6"/>
        </w:numPr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  <w:lang w:val="id-ID"/>
        </w:rPr>
        <w:t>Pierre Purse Igle (ed), 2005, Warfare and Belligerence Perspectives in first World War Studies, Boston : BRILL</w:t>
      </w:r>
    </w:p>
    <w:p>
      <w:pPr>
        <w:jc w:val="both"/>
        <w:rPr>
          <w:rFonts w:ascii="Cambria" w:hAnsi="Cambria"/>
          <w:sz w:val="22"/>
          <w:szCs w:val="22"/>
          <w:lang w:val="en-US"/>
        </w:rPr>
      </w:pPr>
    </w:p>
    <w:p>
      <w:pPr>
        <w:jc w:val="both"/>
        <w:rPr>
          <w:rFonts w:ascii="Cambria" w:hAnsi="Cambria"/>
          <w:sz w:val="22"/>
          <w:szCs w:val="22"/>
          <w:lang w:val="en-US"/>
        </w:rPr>
      </w:pPr>
    </w:p>
    <w:p>
      <w:pPr>
        <w:jc w:val="both"/>
        <w:rPr>
          <w:rFonts w:ascii="Cambria" w:hAnsi="Cambria"/>
          <w:sz w:val="22"/>
          <w:szCs w:val="22"/>
          <w:lang w:val="en-US"/>
        </w:rPr>
      </w:pPr>
    </w:p>
    <w:p>
      <w:pPr>
        <w:jc w:val="both"/>
        <w:rPr>
          <w:rFonts w:ascii="Cambria" w:hAnsi="Cambria"/>
          <w:sz w:val="22"/>
          <w:szCs w:val="22"/>
          <w:lang w:val="en-US"/>
        </w:rPr>
      </w:pPr>
    </w:p>
    <w:p>
      <w:pPr>
        <w:jc w:val="both"/>
        <w:rPr>
          <w:rFonts w:ascii="Cambria" w:hAnsi="Cambria"/>
          <w:sz w:val="22"/>
          <w:szCs w:val="22"/>
          <w:lang w:val="en-US"/>
        </w:rPr>
      </w:pPr>
    </w:p>
    <w:p>
      <w:pPr>
        <w:jc w:val="both"/>
        <w:rPr>
          <w:rFonts w:ascii="Cambria" w:hAnsi="Cambria"/>
          <w:sz w:val="22"/>
          <w:szCs w:val="22"/>
          <w:lang w:val="en-US"/>
        </w:rPr>
      </w:pPr>
    </w:p>
    <w:tbl>
      <w:tblPr>
        <w:tblStyle w:val="6"/>
        <w:tblW w:w="15310" w:type="dxa"/>
        <w:tblInd w:w="-8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4"/>
        <w:gridCol w:w="1986"/>
        <w:gridCol w:w="2430"/>
        <w:gridCol w:w="1968"/>
        <w:gridCol w:w="1761"/>
        <w:gridCol w:w="1656"/>
        <w:gridCol w:w="963"/>
        <w:gridCol w:w="1681"/>
        <w:gridCol w:w="852"/>
        <w:gridCol w:w="56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8DB3E2" w:themeFill="text2" w:themeFillTint="66"/>
            <w:vAlign w:val="center"/>
          </w:tcPr>
          <w:p>
            <w:pPr>
              <w:jc w:val="center"/>
              <w:rPr>
                <w:rFonts w:ascii="Cambria" w:hAnsi="Cambria" w:cs="Cambria"/>
                <w:b/>
                <w:sz w:val="22"/>
                <w:szCs w:val="22"/>
              </w:rPr>
            </w:pPr>
            <w:r>
              <w:rPr>
                <w:rFonts w:ascii="Cambria" w:hAnsi="Cambria" w:cs="Cambria"/>
                <w:b/>
                <w:sz w:val="22"/>
                <w:szCs w:val="22"/>
              </w:rPr>
              <w:t>Pertemuan</w:t>
            </w:r>
          </w:p>
          <w:p>
            <w:pPr>
              <w:jc w:val="center"/>
              <w:rPr>
                <w:rFonts w:ascii="Cambria" w:hAnsi="Cambria" w:cs="Cambria"/>
                <w:b/>
                <w:sz w:val="22"/>
                <w:szCs w:val="22"/>
              </w:rPr>
            </w:pPr>
            <w:r>
              <w:rPr>
                <w:rFonts w:ascii="Cambria" w:hAnsi="Cambria" w:cs="Cambria"/>
                <w:b/>
                <w:sz w:val="22"/>
                <w:szCs w:val="22"/>
              </w:rPr>
              <w:t>Ke</w:t>
            </w:r>
          </w:p>
        </w:tc>
        <w:tc>
          <w:tcPr>
            <w:tcW w:w="198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8DB3E2" w:themeFill="text2" w:themeFillTint="66"/>
            <w:vAlign w:val="center"/>
          </w:tcPr>
          <w:p>
            <w:pPr>
              <w:jc w:val="center"/>
              <w:rPr>
                <w:rFonts w:ascii="Cambria" w:hAnsi="Cambria" w:cs="Cambria"/>
                <w:b/>
                <w:sz w:val="22"/>
                <w:szCs w:val="22"/>
              </w:rPr>
            </w:pPr>
            <w:r>
              <w:rPr>
                <w:rFonts w:ascii="Cambria" w:hAnsi="Cambria" w:cs="Cambria"/>
                <w:b/>
                <w:sz w:val="22"/>
                <w:szCs w:val="22"/>
              </w:rPr>
              <w:t>Kemampuan khusus</w:t>
            </w:r>
          </w:p>
          <w:p>
            <w:pPr>
              <w:jc w:val="center"/>
              <w:rPr>
                <w:rFonts w:ascii="Cambria" w:hAnsi="Cambria" w:cs="Cambria"/>
                <w:b/>
                <w:sz w:val="22"/>
                <w:szCs w:val="22"/>
              </w:rPr>
            </w:pPr>
            <w:r>
              <w:rPr>
                <w:rFonts w:ascii="Cambria" w:hAnsi="Cambria" w:cs="Cambria"/>
                <w:b/>
                <w:sz w:val="22"/>
                <w:szCs w:val="22"/>
              </w:rPr>
              <w:t xml:space="preserve"> (Sub-CPMK)</w:t>
            </w:r>
          </w:p>
        </w:tc>
        <w:tc>
          <w:tcPr>
            <w:tcW w:w="243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8DB3E2" w:themeFill="text2" w:themeFillTint="66"/>
            <w:vAlign w:val="center"/>
          </w:tcPr>
          <w:p>
            <w:pPr>
              <w:jc w:val="center"/>
              <w:rPr>
                <w:rFonts w:ascii="Cambria" w:hAnsi="Cambria" w:cs="Cambria"/>
                <w:b/>
                <w:sz w:val="22"/>
                <w:szCs w:val="22"/>
              </w:rPr>
            </w:pPr>
            <w:r>
              <w:rPr>
                <w:rFonts w:ascii="Cambria" w:hAnsi="Cambria" w:cs="Cambria"/>
                <w:b/>
                <w:sz w:val="22"/>
                <w:szCs w:val="22"/>
              </w:rPr>
              <w:t>Indikator</w:t>
            </w:r>
          </w:p>
        </w:tc>
        <w:tc>
          <w:tcPr>
            <w:tcW w:w="196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8DB3E2" w:themeFill="text2" w:themeFillTint="66"/>
            <w:vAlign w:val="center"/>
          </w:tcPr>
          <w:p>
            <w:pPr>
              <w:jc w:val="center"/>
              <w:rPr>
                <w:rFonts w:ascii="Cambria" w:hAnsi="Cambria" w:cs="Cambria"/>
                <w:b/>
                <w:sz w:val="22"/>
                <w:szCs w:val="22"/>
              </w:rPr>
            </w:pPr>
            <w:r>
              <w:rPr>
                <w:rFonts w:ascii="Cambria" w:hAnsi="Cambria" w:cs="Cambria"/>
                <w:b/>
                <w:sz w:val="22"/>
                <w:szCs w:val="22"/>
              </w:rPr>
              <w:t>Materi Pokok</w:t>
            </w:r>
          </w:p>
          <w:p>
            <w:pPr>
              <w:jc w:val="center"/>
              <w:rPr>
                <w:rFonts w:ascii="Cambria" w:hAnsi="Cambria" w:cs="Cambria"/>
                <w:b/>
                <w:sz w:val="22"/>
                <w:szCs w:val="22"/>
              </w:rPr>
            </w:pPr>
            <w:r>
              <w:rPr>
                <w:rFonts w:ascii="Cambria" w:hAnsi="Cambria" w:cs="Cambria"/>
                <w:b/>
                <w:sz w:val="22"/>
                <w:szCs w:val="22"/>
              </w:rPr>
              <w:t>(Bahan Kajian)</w:t>
            </w:r>
          </w:p>
        </w:tc>
        <w:tc>
          <w:tcPr>
            <w:tcW w:w="176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8DB3E2" w:themeFill="text2" w:themeFillTint="66"/>
            <w:vAlign w:val="center"/>
          </w:tcPr>
          <w:p>
            <w:pPr>
              <w:jc w:val="center"/>
              <w:rPr>
                <w:rFonts w:ascii="Cambria" w:hAnsi="Cambria" w:cs="Cambria"/>
                <w:b/>
                <w:sz w:val="22"/>
                <w:szCs w:val="22"/>
              </w:rPr>
            </w:pPr>
            <w:r>
              <w:rPr>
                <w:rFonts w:ascii="Cambria" w:hAnsi="Cambria" w:cs="Cambria"/>
                <w:b/>
                <w:sz w:val="22"/>
                <w:szCs w:val="22"/>
              </w:rPr>
              <w:t xml:space="preserve"> Metode Pembelajaran</w:t>
            </w:r>
          </w:p>
        </w:tc>
        <w:tc>
          <w:tcPr>
            <w:tcW w:w="165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8DB3E2" w:themeFill="text2" w:themeFillTint="66"/>
            <w:vAlign w:val="center"/>
          </w:tcPr>
          <w:p>
            <w:pPr>
              <w:jc w:val="center"/>
              <w:rPr>
                <w:rFonts w:ascii="Cambria" w:hAnsi="Cambria" w:cs="Cambria"/>
                <w:b/>
                <w:sz w:val="22"/>
                <w:szCs w:val="22"/>
              </w:rPr>
            </w:pPr>
            <w:r>
              <w:rPr>
                <w:rFonts w:ascii="Cambria" w:hAnsi="Cambria" w:cs="Cambria"/>
                <w:b/>
                <w:sz w:val="22"/>
                <w:szCs w:val="22"/>
              </w:rPr>
              <w:t>Pengalaman Belajar</w:t>
            </w:r>
          </w:p>
        </w:tc>
        <w:tc>
          <w:tcPr>
            <w:tcW w:w="26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8DB3E2" w:themeFill="text2" w:themeFillTint="66"/>
          </w:tcPr>
          <w:p>
            <w:pPr>
              <w:jc w:val="center"/>
              <w:rPr>
                <w:rFonts w:ascii="Cambria" w:hAnsi="Cambria" w:cs="Cambria"/>
                <w:b/>
                <w:sz w:val="22"/>
                <w:szCs w:val="22"/>
              </w:rPr>
            </w:pPr>
            <w:r>
              <w:rPr>
                <w:rFonts w:ascii="Cambria" w:hAnsi="Cambria" w:cs="Cambria"/>
                <w:b/>
                <w:sz w:val="22"/>
                <w:szCs w:val="22"/>
              </w:rPr>
              <w:t>Penilaian</w:t>
            </w:r>
          </w:p>
          <w:p>
            <w:pPr>
              <w:jc w:val="both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85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8DB3E2" w:themeFill="text2" w:themeFillTint="66"/>
          </w:tcPr>
          <w:p>
            <w:pPr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 w:cs="Cambria"/>
                <w:b/>
                <w:sz w:val="22"/>
                <w:szCs w:val="22"/>
              </w:rPr>
              <w:t>Bobot</w:t>
            </w:r>
          </w:p>
        </w:tc>
        <w:tc>
          <w:tcPr>
            <w:tcW w:w="56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8DB3E2" w:themeFill="text2" w:themeFillTint="66"/>
          </w:tcPr>
          <w:p>
            <w:pPr>
              <w:jc w:val="center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 w:cs="Cambria"/>
                <w:b/>
                <w:sz w:val="22"/>
                <w:szCs w:val="22"/>
              </w:rPr>
              <w:t>Ref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Cambria" w:hAnsi="Cambria" w:cs="Cambria"/>
                <w:b/>
                <w:sz w:val="22"/>
                <w:szCs w:val="22"/>
              </w:rPr>
            </w:pPr>
          </w:p>
        </w:tc>
        <w:tc>
          <w:tcPr>
            <w:tcW w:w="198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Cambria" w:hAnsi="Cambria" w:cs="Cambria"/>
                <w:b/>
                <w:sz w:val="22"/>
                <w:szCs w:val="22"/>
              </w:rPr>
            </w:pPr>
          </w:p>
        </w:tc>
        <w:tc>
          <w:tcPr>
            <w:tcW w:w="243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Cambria" w:hAnsi="Cambria" w:cs="Cambria"/>
                <w:b/>
                <w:sz w:val="22"/>
                <w:szCs w:val="22"/>
              </w:rPr>
            </w:pPr>
          </w:p>
        </w:tc>
        <w:tc>
          <w:tcPr>
            <w:tcW w:w="19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Cambria" w:hAnsi="Cambria" w:cs="Cambria"/>
                <w:b/>
                <w:sz w:val="22"/>
                <w:szCs w:val="22"/>
              </w:rPr>
            </w:pPr>
          </w:p>
        </w:tc>
        <w:tc>
          <w:tcPr>
            <w:tcW w:w="17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Cambria" w:hAnsi="Cambria" w:cs="Cambria"/>
                <w:b/>
                <w:sz w:val="22"/>
                <w:szCs w:val="22"/>
              </w:rPr>
            </w:pPr>
          </w:p>
        </w:tc>
        <w:tc>
          <w:tcPr>
            <w:tcW w:w="16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Cambria" w:hAnsi="Cambria" w:cs="Cambria"/>
                <w:b/>
                <w:sz w:val="22"/>
                <w:szCs w:val="22"/>
              </w:rPr>
            </w:pPr>
          </w:p>
        </w:tc>
        <w:tc>
          <w:tcPr>
            <w:tcW w:w="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8DB3E2" w:themeFill="text2" w:themeFillTint="66"/>
            <w:vAlign w:val="center"/>
          </w:tcPr>
          <w:p>
            <w:pPr>
              <w:jc w:val="center"/>
              <w:rPr>
                <w:rFonts w:ascii="Cambria" w:hAnsi="Cambria" w:cs="Cambria"/>
                <w:b/>
                <w:sz w:val="22"/>
                <w:szCs w:val="22"/>
              </w:rPr>
            </w:pPr>
            <w:r>
              <w:rPr>
                <w:rFonts w:ascii="Cambria" w:hAnsi="Cambria" w:cs="Cambria"/>
                <w:b/>
                <w:sz w:val="22"/>
                <w:szCs w:val="22"/>
              </w:rPr>
              <w:t>Jenis</w:t>
            </w:r>
          </w:p>
        </w:tc>
        <w:tc>
          <w:tcPr>
            <w:tcW w:w="16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8DB3E2" w:themeFill="text2" w:themeFillTint="66"/>
            <w:vAlign w:val="center"/>
          </w:tcPr>
          <w:p>
            <w:pPr>
              <w:jc w:val="center"/>
              <w:rPr>
                <w:rFonts w:ascii="Cambria" w:hAnsi="Cambria" w:cs="Cambria"/>
                <w:b/>
                <w:sz w:val="22"/>
                <w:szCs w:val="22"/>
              </w:rPr>
            </w:pPr>
            <w:r>
              <w:rPr>
                <w:rFonts w:ascii="Cambria" w:hAnsi="Cambria" w:cs="Cambria"/>
                <w:b/>
                <w:sz w:val="22"/>
                <w:szCs w:val="22"/>
              </w:rPr>
              <w:t>Kriteria</w:t>
            </w:r>
          </w:p>
        </w:tc>
        <w:tc>
          <w:tcPr>
            <w:tcW w:w="8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5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Cambria" w:hAnsi="Cambria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jc w:val="center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1.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Mahasiswa Mampu memahami Definisi, Sejarah, Sumber dan Prinsip serta Tujuan Hukum Humaniter sebagai sebuah kajian dalam Hubungan Internasional</w:t>
            </w:r>
          </w:p>
        </w:tc>
        <w:tc>
          <w:tcPr>
            <w:tcW w:w="2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1.Memahami Definisi Hukum Humaniter</w:t>
            </w:r>
          </w:p>
          <w:p>
            <w:pPr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2.Menjelaskan Sejarah Perkembangan Hukum Humaniter</w:t>
            </w:r>
          </w:p>
          <w:p>
            <w:pPr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3.Menguraikan Sumber dan Prinsip Hukum Humaniter</w:t>
            </w:r>
          </w:p>
          <w:p>
            <w:pPr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 xml:space="preserve">4.Menjelaskan tentang Azas dalam Hukum Humaniter </w:t>
            </w:r>
          </w:p>
          <w:p>
            <w:pPr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5.Menjelaskan tentang Tujuan dalam Hukum Humaniter</w:t>
            </w:r>
          </w:p>
          <w:p>
            <w:pPr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6.Menguraikan Hubungan antara HHI dan Hukum HAM</w:t>
            </w:r>
          </w:p>
          <w:p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pStyle w:val="8"/>
              <w:ind w:left="0"/>
              <w:rPr>
                <w:rFonts w:ascii="Cambria" w:hAnsi="Cambria" w:cs="Calibri"/>
                <w:sz w:val="22"/>
                <w:szCs w:val="22"/>
              </w:rPr>
            </w:pPr>
            <w:r>
              <w:rPr>
                <w:rFonts w:ascii="Cambria" w:hAnsi="Cambria" w:cs="Calibri"/>
                <w:sz w:val="22"/>
                <w:szCs w:val="22"/>
              </w:rPr>
              <w:t>1.Definisi Hukum Humaniter</w:t>
            </w:r>
          </w:p>
          <w:p>
            <w:pPr>
              <w:pStyle w:val="8"/>
              <w:ind w:left="0"/>
              <w:rPr>
                <w:rFonts w:ascii="Cambria" w:hAnsi="Cambria" w:cs="Calibri"/>
                <w:sz w:val="22"/>
                <w:szCs w:val="22"/>
              </w:rPr>
            </w:pPr>
            <w:r>
              <w:rPr>
                <w:rFonts w:ascii="Cambria" w:hAnsi="Cambria" w:cs="Calibri"/>
                <w:sz w:val="22"/>
                <w:szCs w:val="22"/>
              </w:rPr>
              <w:t>2.Sejarah Perkembangan Hukum Humaniter</w:t>
            </w:r>
          </w:p>
          <w:p>
            <w:pPr>
              <w:pStyle w:val="8"/>
              <w:ind w:left="0"/>
              <w:rPr>
                <w:rFonts w:ascii="Cambria" w:hAnsi="Cambria" w:cs="Calibri"/>
                <w:sz w:val="22"/>
                <w:szCs w:val="22"/>
              </w:rPr>
            </w:pPr>
            <w:r>
              <w:rPr>
                <w:rFonts w:ascii="Cambria" w:hAnsi="Cambria" w:cs="Calibri"/>
                <w:sz w:val="22"/>
                <w:szCs w:val="22"/>
              </w:rPr>
              <w:t>3.Sumber dan Prinsip Hukum Humaniter</w:t>
            </w:r>
          </w:p>
          <w:p>
            <w:pPr>
              <w:pStyle w:val="8"/>
              <w:ind w:left="0"/>
              <w:rPr>
                <w:rFonts w:ascii="Cambria" w:hAnsi="Cambria" w:cs="Calibri"/>
                <w:sz w:val="22"/>
                <w:szCs w:val="22"/>
              </w:rPr>
            </w:pPr>
            <w:r>
              <w:rPr>
                <w:rFonts w:ascii="Cambria" w:hAnsi="Cambria" w:cs="Calibri"/>
                <w:sz w:val="22"/>
                <w:szCs w:val="22"/>
              </w:rPr>
              <w:t>4.Azas Hukum Humaniter</w:t>
            </w:r>
          </w:p>
          <w:p>
            <w:pPr>
              <w:pStyle w:val="8"/>
              <w:ind w:left="0"/>
              <w:rPr>
                <w:rFonts w:ascii="Cambria" w:hAnsi="Cambria" w:cs="Calibri"/>
                <w:sz w:val="22"/>
                <w:szCs w:val="22"/>
              </w:rPr>
            </w:pPr>
            <w:r>
              <w:rPr>
                <w:rFonts w:ascii="Cambria" w:hAnsi="Cambria" w:cs="Calibri"/>
                <w:sz w:val="22"/>
                <w:szCs w:val="22"/>
              </w:rPr>
              <w:t>5.Tujuan Hukum Humaniter</w:t>
            </w:r>
          </w:p>
          <w:p>
            <w:pPr>
              <w:pStyle w:val="8"/>
              <w:ind w:left="0"/>
              <w:rPr>
                <w:rFonts w:ascii="Cambria" w:hAnsi="Cambria" w:cs="Calibri"/>
                <w:sz w:val="22"/>
                <w:szCs w:val="22"/>
              </w:rPr>
            </w:pPr>
            <w:r>
              <w:rPr>
                <w:rFonts w:ascii="Cambria" w:hAnsi="Cambria" w:cs="Calibri"/>
                <w:sz w:val="22"/>
                <w:szCs w:val="22"/>
              </w:rPr>
              <w:t>6.Relevansi Hukum Humaniter dan Hukum HAM</w:t>
            </w:r>
          </w:p>
          <w:p>
            <w:pPr>
              <w:pStyle w:val="8"/>
              <w:ind w:left="0"/>
              <w:rPr>
                <w:rFonts w:ascii="Cambria" w:hAnsi="Cambria"/>
                <w:sz w:val="22"/>
                <w:szCs w:val="22"/>
              </w:rPr>
            </w:pPr>
          </w:p>
          <w:p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Perkenalan dan penjelasan secara garis besar materi dan cara mhs mencari data, penjelasan penilaian.</w:t>
            </w:r>
          </w:p>
        </w:tc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Menyimak penjelasan dosen untuk memahami tugas dan tanggung jawab dalam proses pembelajaran.</w:t>
            </w:r>
          </w:p>
        </w:tc>
        <w:tc>
          <w:tcPr>
            <w:tcW w:w="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Tes dan non tes</w:t>
            </w:r>
          </w:p>
          <w:p>
            <w:pPr>
              <w:rPr>
                <w:rFonts w:ascii="Cambria" w:hAnsi="Cambria"/>
                <w:sz w:val="22"/>
                <w:szCs w:val="22"/>
              </w:rPr>
            </w:pPr>
          </w:p>
          <w:p>
            <w:pPr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Tertulis</w:t>
            </w:r>
          </w:p>
          <w:p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6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Kemampuan Mahasiswa untuk memahami Hukum Humaniter sebagai sebuah kajian dalam HI</w:t>
            </w:r>
          </w:p>
        </w:tc>
        <w:tc>
          <w:tcPr>
            <w:tcW w:w="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5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1,4,6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jc w:val="center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2-3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color w:val="000000"/>
                <w:sz w:val="22"/>
                <w:szCs w:val="22"/>
              </w:rPr>
              <w:t>Mahasiswa mampu menjelaskan Regulasi dalam HHI</w:t>
            </w:r>
          </w:p>
        </w:tc>
        <w:tc>
          <w:tcPr>
            <w:tcW w:w="2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1.Menjelaskan tentang Perjanjian dalam HHI</w:t>
            </w:r>
          </w:p>
          <w:p>
            <w:pPr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2.Menjelaskan tentang isi Konvensi Jenewa I,II,III, dan IV</w:t>
            </w:r>
          </w:p>
          <w:p>
            <w:pPr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3.Menjelaskan tentang Prinsip umum dalam HHI</w:t>
            </w:r>
          </w:p>
          <w:p>
            <w:pPr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4.Menjelaskan tentang Ius Ad Bellum dan Ius in Bello</w:t>
            </w:r>
          </w:p>
          <w:p>
            <w:pPr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5.Menguraikan tentang Ketentuan Minimal dalam Hukum Humaniter</w:t>
            </w:r>
          </w:p>
          <w:p>
            <w:pPr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6.Menjelaskan Tanggung Jawab yang harus dipenuhi dalam Pelaksanaan HHI</w:t>
            </w:r>
          </w:p>
          <w:p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pStyle w:val="8"/>
              <w:ind w:left="34"/>
              <w:rPr>
                <w:rFonts w:ascii="Cambria" w:hAnsi="Cambria" w:cs="Calibri"/>
                <w:sz w:val="22"/>
                <w:szCs w:val="22"/>
              </w:rPr>
            </w:pPr>
            <w:r>
              <w:rPr>
                <w:rFonts w:ascii="Cambria" w:hAnsi="Cambria" w:cs="Calibri"/>
                <w:sz w:val="22"/>
                <w:szCs w:val="22"/>
              </w:rPr>
              <w:t>1.Perjanjian yang Membentuk HHI</w:t>
            </w:r>
          </w:p>
          <w:p>
            <w:pPr>
              <w:pStyle w:val="8"/>
              <w:ind w:left="34"/>
              <w:rPr>
                <w:rFonts w:ascii="Cambria" w:hAnsi="Cambria" w:cs="Calibri"/>
                <w:sz w:val="22"/>
                <w:szCs w:val="22"/>
              </w:rPr>
            </w:pPr>
            <w:r>
              <w:rPr>
                <w:rFonts w:ascii="Cambria" w:hAnsi="Cambria" w:cs="Calibri"/>
                <w:sz w:val="22"/>
                <w:szCs w:val="22"/>
              </w:rPr>
              <w:t>2.Konvensi Jenewa I,II,III,IV 1949</w:t>
            </w:r>
          </w:p>
          <w:p>
            <w:pPr>
              <w:pStyle w:val="8"/>
              <w:ind w:left="34"/>
              <w:rPr>
                <w:rFonts w:ascii="Cambria" w:hAnsi="Cambria" w:cs="Calibri"/>
                <w:sz w:val="22"/>
                <w:szCs w:val="22"/>
              </w:rPr>
            </w:pPr>
            <w:r>
              <w:rPr>
                <w:rFonts w:ascii="Cambria" w:hAnsi="Cambria" w:cs="Calibri"/>
                <w:sz w:val="22"/>
                <w:szCs w:val="22"/>
              </w:rPr>
              <w:t>3.Prinsip dalam HHI</w:t>
            </w:r>
          </w:p>
          <w:p>
            <w:pPr>
              <w:pStyle w:val="8"/>
              <w:ind w:left="34"/>
              <w:rPr>
                <w:rFonts w:ascii="Cambria" w:hAnsi="Cambria" w:cs="Calibri"/>
                <w:sz w:val="22"/>
                <w:szCs w:val="22"/>
              </w:rPr>
            </w:pPr>
            <w:r>
              <w:rPr>
                <w:rFonts w:ascii="Cambria" w:hAnsi="Cambria" w:cs="Calibri"/>
                <w:sz w:val="22"/>
                <w:szCs w:val="22"/>
              </w:rPr>
              <w:t>4.Ius Ad Bellum dan Ius in Bello</w:t>
            </w:r>
          </w:p>
          <w:p>
            <w:pPr>
              <w:pStyle w:val="8"/>
              <w:ind w:left="34"/>
              <w:rPr>
                <w:rFonts w:ascii="Cambria" w:hAnsi="Cambria" w:cs="Calibri"/>
                <w:sz w:val="22"/>
                <w:szCs w:val="22"/>
              </w:rPr>
            </w:pPr>
            <w:r>
              <w:rPr>
                <w:rFonts w:ascii="Cambria" w:hAnsi="Cambria" w:cs="Calibri"/>
                <w:sz w:val="22"/>
                <w:szCs w:val="22"/>
              </w:rPr>
              <w:t>5.Ketentuan Minimal dalam HHI</w:t>
            </w:r>
          </w:p>
          <w:p>
            <w:pPr>
              <w:pStyle w:val="8"/>
              <w:ind w:left="34"/>
              <w:rPr>
                <w:rFonts w:ascii="Cambria" w:hAnsi="Cambria" w:cs="Calibri"/>
                <w:sz w:val="22"/>
                <w:szCs w:val="22"/>
              </w:rPr>
            </w:pPr>
            <w:r>
              <w:rPr>
                <w:rFonts w:ascii="Cambria" w:hAnsi="Cambria" w:cs="Calibri"/>
                <w:sz w:val="22"/>
                <w:szCs w:val="22"/>
              </w:rPr>
              <w:t>6.Tanggung Jawab dalam Pelaksanaan HHI</w:t>
            </w:r>
          </w:p>
        </w:tc>
        <w:tc>
          <w:tcPr>
            <w:tcW w:w="1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 xml:space="preserve">Ceramah, </w:t>
            </w:r>
          </w:p>
          <w:p>
            <w:pPr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Tanya jawab,</w:t>
            </w:r>
          </w:p>
          <w:p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Mahasiswa mendiskusikan tentang Perjanjian dalam HHI dan perubahan dalam KJ I,II,III, dan IV 1949 dari buku ajar dan penjelasan dosen.</w:t>
            </w:r>
          </w:p>
        </w:tc>
        <w:tc>
          <w:tcPr>
            <w:tcW w:w="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Tes dan non tes</w:t>
            </w:r>
          </w:p>
          <w:p>
            <w:pPr>
              <w:rPr>
                <w:rFonts w:ascii="Cambria" w:hAnsi="Cambria"/>
                <w:sz w:val="22"/>
                <w:szCs w:val="22"/>
              </w:rPr>
            </w:pPr>
          </w:p>
          <w:p>
            <w:pPr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Tertulis</w:t>
            </w:r>
          </w:p>
          <w:p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6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autoSpaceDE w:val="0"/>
              <w:autoSpaceDN w:val="0"/>
              <w:rPr>
                <w:rFonts w:ascii="Cambria" w:hAnsi="Cambria"/>
                <w:bCs/>
                <w:sz w:val="22"/>
                <w:szCs w:val="22"/>
                <w:lang w:eastAsia="id-ID"/>
              </w:rPr>
            </w:pPr>
            <w:r>
              <w:rPr>
                <w:rFonts w:ascii="Cambria" w:hAnsi="Cambria"/>
                <w:bCs/>
                <w:sz w:val="22"/>
                <w:szCs w:val="22"/>
                <w:lang w:eastAsia="id-ID"/>
              </w:rPr>
              <w:t>Ketepatan menjelas-kan perbedaan konten dari KJ I,II,III dan IV.</w:t>
            </w:r>
          </w:p>
          <w:p>
            <w:pPr>
              <w:autoSpaceDE w:val="0"/>
              <w:autoSpaceDN w:val="0"/>
              <w:ind w:left="137"/>
              <w:rPr>
                <w:rFonts w:ascii="Cambria" w:hAnsi="Cambria"/>
                <w:bCs/>
                <w:sz w:val="22"/>
                <w:szCs w:val="22"/>
                <w:lang w:eastAsia="id-ID"/>
              </w:rPr>
            </w:pPr>
          </w:p>
          <w:p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rPr>
                <w:rFonts w:ascii="Cambria" w:hAnsi="Cambria"/>
                <w:b/>
                <w:sz w:val="22"/>
                <w:szCs w:val="22"/>
              </w:rPr>
            </w:pPr>
            <w:r>
              <w:rPr>
                <w:rFonts w:ascii="Cambria" w:hAnsi="Cambria"/>
                <w:b/>
                <w:sz w:val="22"/>
                <w:szCs w:val="22"/>
              </w:rPr>
              <w:t>5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Buku:</w:t>
            </w:r>
          </w:p>
          <w:p>
            <w:pPr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1, 2, 3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jc w:val="center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4.</w:t>
            </w:r>
          </w:p>
          <w:p>
            <w:pPr>
              <w:jc w:val="center"/>
              <w:rPr>
                <w:rFonts w:ascii="Cambria" w:hAnsi="Cambria"/>
                <w:sz w:val="22"/>
                <w:szCs w:val="22"/>
              </w:rPr>
            </w:pPr>
          </w:p>
          <w:p>
            <w:pPr>
              <w:jc w:val="center"/>
              <w:rPr>
                <w:rFonts w:ascii="Cambria" w:hAnsi="Cambria"/>
                <w:sz w:val="22"/>
                <w:szCs w:val="22"/>
              </w:rPr>
            </w:pPr>
          </w:p>
          <w:p>
            <w:pPr>
              <w:jc w:val="center"/>
              <w:rPr>
                <w:rFonts w:ascii="Cambria" w:hAnsi="Cambria"/>
                <w:sz w:val="22"/>
                <w:szCs w:val="22"/>
              </w:rPr>
            </w:pPr>
          </w:p>
          <w:p>
            <w:pPr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color w:val="000000"/>
                <w:sz w:val="22"/>
                <w:szCs w:val="22"/>
              </w:rPr>
              <w:t>Mahasiswa mampu memahami Klasifikasi Konflik dalam HHI  Penyelesaiannya.</w:t>
            </w:r>
          </w:p>
        </w:tc>
        <w:tc>
          <w:tcPr>
            <w:tcW w:w="2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1.Menjelaskan Definisi Konflik dalam HHI</w:t>
            </w:r>
          </w:p>
          <w:p>
            <w:pPr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2.Menjelaskan Pembagian Konflik dalam HHI</w:t>
            </w:r>
          </w:p>
          <w:p>
            <w:pPr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3.Menjelaskan Upaya Penyelesaian Secara Damai</w:t>
            </w:r>
          </w:p>
          <w:p>
            <w:pPr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4.Menjelaskan Upaya Penyelesaian secara HHI dan HAM.</w:t>
            </w:r>
          </w:p>
        </w:tc>
        <w:tc>
          <w:tcPr>
            <w:tcW w:w="1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1.Pengertian Konflik</w:t>
            </w:r>
          </w:p>
          <w:p>
            <w:pPr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2.Pembagian Jenis Konflik dalam HHI</w:t>
            </w:r>
          </w:p>
          <w:p>
            <w:pPr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3.Jenis Konflik yang tidak diatur dalam HHI</w:t>
            </w:r>
          </w:p>
          <w:p>
            <w:pPr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4.Upaya Penyelesaian secara Damai</w:t>
            </w:r>
          </w:p>
          <w:p>
            <w:pPr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5.Upaya Penyelesaian secara HHI dan HAM</w:t>
            </w:r>
          </w:p>
        </w:tc>
        <w:tc>
          <w:tcPr>
            <w:tcW w:w="1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 xml:space="preserve">Ceramah, </w:t>
            </w:r>
          </w:p>
          <w:p>
            <w:pPr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 xml:space="preserve">Tanya jawab, </w:t>
            </w:r>
          </w:p>
          <w:p>
            <w:pPr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Diskusi model kelompok kecil,</w:t>
            </w:r>
          </w:p>
          <w:p>
            <w:pPr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Latihan</w:t>
            </w:r>
          </w:p>
        </w:tc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 xml:space="preserve">Mahasiswa mendiskusikan </w:t>
            </w:r>
            <w:r>
              <w:rPr>
                <w:rFonts w:ascii="Cambria" w:hAnsi="Cambria"/>
                <w:color w:val="000000"/>
                <w:sz w:val="22"/>
                <w:szCs w:val="22"/>
              </w:rPr>
              <w:t xml:space="preserve">dan memetakan Konflik yang terjadi di dunia dan membuat mapping konfliknya berdasarkan </w:t>
            </w:r>
            <w:r>
              <w:rPr>
                <w:rFonts w:ascii="Cambria" w:hAnsi="Cambria"/>
                <w:sz w:val="22"/>
                <w:szCs w:val="22"/>
              </w:rPr>
              <w:t xml:space="preserve">buku ajar dan penjelasan dosen, </w:t>
            </w:r>
          </w:p>
        </w:tc>
        <w:tc>
          <w:tcPr>
            <w:tcW w:w="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Tes dan non tes</w:t>
            </w:r>
          </w:p>
          <w:p>
            <w:pPr>
              <w:rPr>
                <w:rFonts w:ascii="Cambria" w:hAnsi="Cambria"/>
                <w:sz w:val="22"/>
                <w:szCs w:val="22"/>
              </w:rPr>
            </w:pPr>
          </w:p>
          <w:p>
            <w:pPr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Tertulis</w:t>
            </w:r>
          </w:p>
          <w:p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6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autoSpaceDE w:val="0"/>
              <w:autoSpaceDN w:val="0"/>
              <w:rPr>
                <w:rFonts w:ascii="Cambria" w:hAnsi="Cambria"/>
                <w:bCs/>
                <w:sz w:val="22"/>
                <w:szCs w:val="22"/>
                <w:lang w:eastAsia="id-ID"/>
              </w:rPr>
            </w:pPr>
            <w:r>
              <w:rPr>
                <w:rFonts w:ascii="Cambria" w:hAnsi="Cambria"/>
                <w:bCs/>
                <w:sz w:val="22"/>
                <w:szCs w:val="22"/>
                <w:lang w:eastAsia="id-ID"/>
              </w:rPr>
              <w:t>Kemampuan membedak jenis Konflik dan Bentuk Penyelesaian Konflik.</w:t>
            </w:r>
          </w:p>
        </w:tc>
        <w:tc>
          <w:tcPr>
            <w:tcW w:w="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rPr>
                <w:rFonts w:ascii="Cambria" w:hAnsi="Cambria"/>
                <w:b/>
                <w:sz w:val="22"/>
                <w:szCs w:val="22"/>
              </w:rPr>
            </w:pPr>
            <w:r>
              <w:rPr>
                <w:rFonts w:ascii="Cambria" w:hAnsi="Cambria"/>
                <w:b/>
                <w:sz w:val="22"/>
                <w:szCs w:val="22"/>
              </w:rPr>
              <w:t>10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1, 5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jc w:val="center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5.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color w:val="000000"/>
                <w:sz w:val="22"/>
                <w:szCs w:val="22"/>
              </w:rPr>
              <w:t>Mahasiswa menguraikan Definisi Perang dari awal hingga proses penyelesaiannya</w:t>
            </w:r>
          </w:p>
        </w:tc>
        <w:tc>
          <w:tcPr>
            <w:tcW w:w="2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1.Menguraikan Definisi dan hakekat Perang</w:t>
            </w:r>
          </w:p>
          <w:p>
            <w:pPr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2.Menjelaskan Motivasi dan Tujuan dari Perang</w:t>
            </w:r>
          </w:p>
          <w:p>
            <w:pPr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3.Menjelaskan Teori dan Doktrin Perang</w:t>
            </w:r>
          </w:p>
          <w:p>
            <w:pPr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4.Menjelaskan Aturan Perang dalam HHI</w:t>
            </w:r>
          </w:p>
          <w:p>
            <w:pPr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5.Menjelaskan Syarat-syarat Sah-nya suatu Perang</w:t>
            </w:r>
          </w:p>
          <w:p>
            <w:pPr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6.Menjelaskan cara-cara Mengakhiri Perang</w:t>
            </w:r>
          </w:p>
          <w:p>
            <w:pPr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7.Menjelaskan Sanksi yang diterapkan dalam Pelanggaran Perang</w:t>
            </w:r>
          </w:p>
          <w:p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1.Definisi dan Hakekat Perang</w:t>
            </w:r>
          </w:p>
          <w:p>
            <w:pPr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2.Motivasi dan Tujuan Perang</w:t>
            </w:r>
          </w:p>
          <w:p>
            <w:pPr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3.Teori dan Doktrin Perang</w:t>
            </w:r>
          </w:p>
          <w:p>
            <w:pPr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4.Aturan Perang dalam HHI</w:t>
            </w:r>
          </w:p>
          <w:p>
            <w:pPr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5.Syarat Sah sebuah Perang</w:t>
            </w:r>
          </w:p>
          <w:p>
            <w:pPr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6.Mengakhiri Perang</w:t>
            </w:r>
          </w:p>
          <w:p>
            <w:pPr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6.Sanksi Pelanggaran Perang</w:t>
            </w:r>
          </w:p>
          <w:p>
            <w:pPr>
              <w:jc w:val="both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 xml:space="preserve">Ceramah, </w:t>
            </w:r>
          </w:p>
          <w:p>
            <w:pPr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 xml:space="preserve">Tanya jawab, </w:t>
            </w:r>
          </w:p>
          <w:p>
            <w:pPr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Diskusi model kelompok kecil,</w:t>
            </w:r>
          </w:p>
          <w:p>
            <w:pPr>
              <w:rPr>
                <w:rFonts w:ascii="Cambria" w:hAnsi="Cambria"/>
                <w:sz w:val="22"/>
                <w:szCs w:val="22"/>
                <w:highlight w:val="cyan"/>
              </w:rPr>
            </w:pPr>
            <w:r>
              <w:rPr>
                <w:rFonts w:ascii="Cambria" w:hAnsi="Cambria"/>
                <w:sz w:val="22"/>
                <w:szCs w:val="22"/>
              </w:rPr>
              <w:t>Latihan</w:t>
            </w:r>
          </w:p>
        </w:tc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rPr>
                <w:rFonts w:ascii="Cambria" w:hAnsi="Cambria"/>
                <w:sz w:val="22"/>
                <w:szCs w:val="22"/>
                <w:highlight w:val="cyan"/>
              </w:rPr>
            </w:pPr>
            <w:r>
              <w:rPr>
                <w:rFonts w:ascii="Cambria" w:hAnsi="Cambria"/>
                <w:sz w:val="22"/>
                <w:szCs w:val="22"/>
              </w:rPr>
              <w:t>Mahasiswa mendiskusikan perkembangan perang yang pernah terjadi dan sanksi yang diterapkan dalam masing-masing perang</w:t>
            </w:r>
            <w:r>
              <w:rPr>
                <w:rFonts w:ascii="Cambria" w:hAnsi="Cambria"/>
                <w:sz w:val="22"/>
                <w:szCs w:val="22"/>
                <w:highlight w:val="cyan"/>
              </w:rPr>
              <w:t>.</w:t>
            </w:r>
          </w:p>
        </w:tc>
        <w:tc>
          <w:tcPr>
            <w:tcW w:w="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Tes dan non tes</w:t>
            </w:r>
          </w:p>
          <w:p>
            <w:pPr>
              <w:rPr>
                <w:rFonts w:ascii="Cambria" w:hAnsi="Cambria"/>
                <w:sz w:val="22"/>
                <w:szCs w:val="22"/>
              </w:rPr>
            </w:pPr>
          </w:p>
          <w:p>
            <w:pPr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Tertulis</w:t>
            </w:r>
          </w:p>
          <w:p>
            <w:pPr>
              <w:rPr>
                <w:rFonts w:ascii="Cambria" w:hAnsi="Cambria"/>
                <w:sz w:val="22"/>
                <w:szCs w:val="22"/>
                <w:highlight w:val="cyan"/>
              </w:rPr>
            </w:pPr>
          </w:p>
        </w:tc>
        <w:tc>
          <w:tcPr>
            <w:tcW w:w="16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autoSpaceDE w:val="0"/>
              <w:autoSpaceDN w:val="0"/>
              <w:rPr>
                <w:rFonts w:ascii="Cambria" w:hAnsi="Cambria"/>
                <w:bCs/>
                <w:sz w:val="22"/>
                <w:szCs w:val="22"/>
                <w:highlight w:val="cyan"/>
                <w:lang w:eastAsia="id-ID"/>
              </w:rPr>
            </w:pPr>
            <w:r>
              <w:rPr>
                <w:rFonts w:ascii="Cambria" w:hAnsi="Cambria"/>
                <w:bCs/>
                <w:sz w:val="22"/>
                <w:szCs w:val="22"/>
                <w:lang w:eastAsia="id-ID"/>
              </w:rPr>
              <w:t>Kemampuan  memetakan Perang dimulai dari penyebab dan berakhirnya perang tsb.</w:t>
            </w:r>
          </w:p>
        </w:tc>
        <w:tc>
          <w:tcPr>
            <w:tcW w:w="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rPr>
                <w:rFonts w:ascii="Cambria" w:hAnsi="Cambria"/>
                <w:b/>
                <w:sz w:val="22"/>
                <w:szCs w:val="22"/>
              </w:rPr>
            </w:pP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1, 4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jc w:val="center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6-7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color w:val="000000"/>
                <w:sz w:val="22"/>
                <w:szCs w:val="22"/>
              </w:rPr>
              <w:t>Mahasiswa mampu menguraikan tentang Aktor dalam Konflik</w:t>
            </w:r>
            <w:r>
              <w:rPr>
                <w:rFonts w:ascii="Cambria" w:hAnsi="Cambria"/>
                <w:color w:val="000000"/>
                <w:sz w:val="22"/>
                <w:szCs w:val="22"/>
              </w:rPr>
              <w:tab/>
            </w:r>
            <w:r>
              <w:rPr>
                <w:rFonts w:ascii="Cambria" w:hAnsi="Cambria"/>
                <w:color w:val="000000"/>
                <w:sz w:val="22"/>
                <w:szCs w:val="22"/>
              </w:rPr>
              <w:tab/>
            </w:r>
            <w:r>
              <w:rPr>
                <w:rFonts w:ascii="Cambria" w:hAnsi="Cambria"/>
                <w:color w:val="000000"/>
                <w:sz w:val="22"/>
                <w:szCs w:val="22"/>
              </w:rPr>
              <w:t>.</w:t>
            </w:r>
          </w:p>
        </w:tc>
        <w:tc>
          <w:tcPr>
            <w:tcW w:w="2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numPr>
                <w:ilvl w:val="0"/>
                <w:numId w:val="7"/>
              </w:numPr>
              <w:ind w:left="436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Menjelaskan Aktor2  dalam Konflik</w:t>
            </w:r>
          </w:p>
          <w:p>
            <w:pPr>
              <w:numPr>
                <w:ilvl w:val="0"/>
                <w:numId w:val="7"/>
              </w:numPr>
              <w:ind w:left="436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Menjelaskan Faktor penyebab kemunculan Aktor Baru</w:t>
            </w:r>
          </w:p>
          <w:p>
            <w:pPr>
              <w:numPr>
                <w:ilvl w:val="0"/>
                <w:numId w:val="7"/>
              </w:numPr>
              <w:ind w:left="436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Menjelaskan PMSC, Marcenary, SIFF, National Army</w:t>
            </w:r>
          </w:p>
          <w:p>
            <w:pPr>
              <w:numPr>
                <w:ilvl w:val="0"/>
                <w:numId w:val="7"/>
              </w:numPr>
              <w:ind w:left="436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Menjelaskan Regulasi HHI</w:t>
            </w:r>
          </w:p>
          <w:p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1.Aktor dalam Konflik Bersenjata</w:t>
            </w:r>
          </w:p>
          <w:p>
            <w:pPr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 xml:space="preserve">2.Faktor Penyebab Kemunculan Aktor Selain Negara </w:t>
            </w:r>
          </w:p>
          <w:p>
            <w:pPr>
              <w:jc w:val="both"/>
              <w:rPr>
                <w:rFonts w:ascii="Cambria" w:hAnsi="Cambria"/>
                <w:i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3.PMSC,</w:t>
            </w:r>
            <w:r>
              <w:rPr>
                <w:rFonts w:ascii="Cambria" w:hAnsi="Cambria"/>
                <w:i/>
                <w:sz w:val="22"/>
                <w:szCs w:val="22"/>
              </w:rPr>
              <w:t xml:space="preserve"> Mercenary,Soldier Integrated into Foreign Forces, Volunteers, National Army</w:t>
            </w:r>
          </w:p>
          <w:p>
            <w:pPr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4.Regulasi HHI tentang Pelanggaran dalam Perang</w:t>
            </w:r>
          </w:p>
          <w:p>
            <w:pPr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5.Montreaux Document</w:t>
            </w:r>
          </w:p>
        </w:tc>
        <w:tc>
          <w:tcPr>
            <w:tcW w:w="1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 xml:space="preserve">Ceramah, </w:t>
            </w:r>
          </w:p>
          <w:p>
            <w:pPr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 xml:space="preserve">Tanya jawab, </w:t>
            </w:r>
          </w:p>
          <w:p>
            <w:pPr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Diskusi model kelompok kecil,</w:t>
            </w:r>
          </w:p>
          <w:p>
            <w:pPr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Latihan</w:t>
            </w:r>
          </w:p>
        </w:tc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Mahasiswa mendiskusikan dan memecahkan persoalan tentang Keterlibatan Aktor dalam konflik dengan menyertakan studi kasus berdasarkan penjelasan dosen dan buku referensi.</w:t>
            </w:r>
          </w:p>
        </w:tc>
        <w:tc>
          <w:tcPr>
            <w:tcW w:w="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Tes dan non tes</w:t>
            </w:r>
          </w:p>
          <w:p>
            <w:pPr>
              <w:rPr>
                <w:rFonts w:ascii="Cambria" w:hAnsi="Cambria"/>
                <w:sz w:val="22"/>
                <w:szCs w:val="22"/>
              </w:rPr>
            </w:pPr>
          </w:p>
          <w:p>
            <w:pPr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Tertulis</w:t>
            </w:r>
          </w:p>
          <w:p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6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Ketepatan dalam  membedakan masing-masing aktor yang terlibat dalam Konflik</w:t>
            </w:r>
          </w:p>
        </w:tc>
        <w:tc>
          <w:tcPr>
            <w:tcW w:w="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rPr>
                <w:rFonts w:ascii="Cambria" w:hAnsi="Cambria"/>
                <w:b/>
                <w:sz w:val="22"/>
                <w:szCs w:val="22"/>
              </w:rPr>
            </w:pPr>
            <w:r>
              <w:rPr>
                <w:rFonts w:ascii="Cambria" w:hAnsi="Cambria"/>
                <w:b/>
                <w:sz w:val="22"/>
                <w:szCs w:val="22"/>
              </w:rPr>
              <w:t>15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1,2,3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jc w:val="center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8.</w:t>
            </w:r>
          </w:p>
        </w:tc>
        <w:tc>
          <w:tcPr>
            <w:tcW w:w="1386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rPr>
                <w:rFonts w:ascii="Cambria" w:hAnsi="Cambria"/>
                <w:b/>
                <w:sz w:val="22"/>
                <w:szCs w:val="22"/>
              </w:rPr>
            </w:pPr>
            <w:r>
              <w:rPr>
                <w:rFonts w:ascii="Cambria" w:hAnsi="Cambria"/>
                <w:b/>
                <w:sz w:val="22"/>
                <w:szCs w:val="22"/>
              </w:rPr>
              <w:t>Mid Test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9.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Mahasiswa mampu menjelaskan PKO sebagai aktor dalam HHI</w:t>
            </w:r>
          </w:p>
        </w:tc>
        <w:tc>
          <w:tcPr>
            <w:tcW w:w="2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1.Menjelaskan Fakta Tentang PKO</w:t>
            </w:r>
          </w:p>
          <w:p>
            <w:pPr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2.Menjelaskan Priodesasi PKO</w:t>
            </w:r>
          </w:p>
          <w:p>
            <w:pPr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3.Menjelaskan Mandat PKO dalam sebuah Misi</w:t>
            </w:r>
          </w:p>
          <w:p>
            <w:pPr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4.Menjelaskan Parameter PKO</w:t>
            </w:r>
          </w:p>
          <w:p>
            <w:pPr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5.Menjelaskan Faktor Eksternal PKO</w:t>
            </w:r>
          </w:p>
        </w:tc>
        <w:tc>
          <w:tcPr>
            <w:tcW w:w="1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1.Fakta tentang PKO</w:t>
            </w:r>
          </w:p>
          <w:p>
            <w:pPr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2.Periodesasi PKO</w:t>
            </w:r>
          </w:p>
          <w:p>
            <w:pPr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3.Mandat PKO dalam Misi</w:t>
            </w:r>
          </w:p>
          <w:p>
            <w:pPr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4.Parameter PKO</w:t>
            </w:r>
          </w:p>
          <w:p>
            <w:pPr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5.Faktor Eksternal PKO</w:t>
            </w:r>
          </w:p>
        </w:tc>
        <w:tc>
          <w:tcPr>
            <w:tcW w:w="1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 xml:space="preserve">Ceramah, </w:t>
            </w:r>
          </w:p>
          <w:p>
            <w:pPr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 xml:space="preserve">Tanya jawab, </w:t>
            </w:r>
          </w:p>
          <w:p>
            <w:pPr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Diskusi model kelompok kecil,</w:t>
            </w:r>
          </w:p>
          <w:p>
            <w:pPr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Latihan</w:t>
            </w:r>
          </w:p>
        </w:tc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Mahasiswa menyimak penjelasan dari dosen dilanjutkan dengan diskusi terkait dengan fenomena pengiriman PKO di beberapa area konflik</w:t>
            </w:r>
          </w:p>
        </w:tc>
        <w:tc>
          <w:tcPr>
            <w:tcW w:w="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Tes dan non tes</w:t>
            </w:r>
          </w:p>
          <w:p>
            <w:pPr>
              <w:rPr>
                <w:rFonts w:ascii="Cambria" w:hAnsi="Cambria"/>
                <w:sz w:val="22"/>
                <w:szCs w:val="22"/>
              </w:rPr>
            </w:pPr>
          </w:p>
          <w:p>
            <w:pPr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Tertulis</w:t>
            </w:r>
          </w:p>
          <w:p>
            <w:pPr>
              <w:jc w:val="both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6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Ketepatan dalam mengidentikasi bentuk-bentuk PKO</w:t>
            </w:r>
          </w:p>
        </w:tc>
        <w:tc>
          <w:tcPr>
            <w:tcW w:w="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rFonts w:ascii="Cambria" w:hAnsi="Cambria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10.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Mahasiswa mampu Memahami ICRC</w:t>
            </w:r>
          </w:p>
        </w:tc>
        <w:tc>
          <w:tcPr>
            <w:tcW w:w="2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1.Menjelaskan Pendahuluan dan Sejarah ICRC</w:t>
            </w:r>
          </w:p>
          <w:p>
            <w:pPr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2.Menjelaskan Status Hukum ICRC</w:t>
            </w:r>
          </w:p>
          <w:p>
            <w:pPr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3.Status Hukum ICRC</w:t>
            </w:r>
          </w:p>
          <w:p>
            <w:pPr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4.Dasar Hukum ICRC</w:t>
            </w:r>
          </w:p>
          <w:p>
            <w:pPr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5.Tugas dan Misi ICRC</w:t>
            </w:r>
          </w:p>
          <w:p>
            <w:pPr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6.Prinsip Dasar ICRC</w:t>
            </w:r>
          </w:p>
          <w:p>
            <w:pPr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7.Keberadaan ICRC dalam Situasi Bersenjata</w:t>
            </w:r>
          </w:p>
          <w:p>
            <w:pPr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8.Unity Principles</w:t>
            </w:r>
          </w:p>
          <w:p>
            <w:pPr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9.Penyalahgunaan Lambang</w:t>
            </w:r>
          </w:p>
        </w:tc>
        <w:tc>
          <w:tcPr>
            <w:tcW w:w="1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1.Pendahuluan dan Sejarah ICRC</w:t>
            </w:r>
          </w:p>
          <w:p>
            <w:pPr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2.Status Hukum ICRC</w:t>
            </w:r>
          </w:p>
          <w:p>
            <w:pPr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3.Dasar Hukum ICRC</w:t>
            </w:r>
          </w:p>
          <w:p>
            <w:pPr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4.Tugas dan Misi ICRC</w:t>
            </w:r>
          </w:p>
          <w:p>
            <w:pPr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5.Prinsip Dasar ICRC</w:t>
            </w:r>
          </w:p>
          <w:p>
            <w:pPr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6.Keberadaan ICRC dalam Situasi Bersenjata</w:t>
            </w:r>
          </w:p>
          <w:p>
            <w:pPr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7.Unity Principles</w:t>
            </w:r>
          </w:p>
          <w:p>
            <w:pPr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8.Penyalahgunaan Lambang</w:t>
            </w:r>
          </w:p>
        </w:tc>
        <w:tc>
          <w:tcPr>
            <w:tcW w:w="1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 xml:space="preserve">Ceramah, </w:t>
            </w:r>
          </w:p>
          <w:p>
            <w:pPr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 xml:space="preserve">Tanya jawab, </w:t>
            </w:r>
          </w:p>
          <w:p>
            <w:pPr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Diskusi model kelompok kecil,</w:t>
            </w:r>
          </w:p>
          <w:p>
            <w:pPr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Latihan</w:t>
            </w:r>
          </w:p>
        </w:tc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Mahasiswa memahami penjelasan dosen, mendiskusikan Peran ICRC dalam berbagai konflik</w:t>
            </w:r>
          </w:p>
        </w:tc>
        <w:tc>
          <w:tcPr>
            <w:tcW w:w="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Tes dan non tes</w:t>
            </w:r>
          </w:p>
          <w:p>
            <w:pPr>
              <w:rPr>
                <w:rFonts w:ascii="Cambria" w:hAnsi="Cambria"/>
                <w:sz w:val="22"/>
                <w:szCs w:val="22"/>
              </w:rPr>
            </w:pPr>
          </w:p>
          <w:p>
            <w:pPr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Tertulis</w:t>
            </w:r>
          </w:p>
          <w:p>
            <w:pPr>
              <w:jc w:val="both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6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 xml:space="preserve">Ketepatan dalam Menjelaskan konsep </w:t>
            </w:r>
            <w:r>
              <w:rPr>
                <w:rFonts w:ascii="Cambria" w:hAnsi="Cambria"/>
                <w:i/>
                <w:sz w:val="22"/>
                <w:szCs w:val="22"/>
              </w:rPr>
              <w:t>Unity Principles</w:t>
            </w:r>
          </w:p>
        </w:tc>
        <w:tc>
          <w:tcPr>
            <w:tcW w:w="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rFonts w:ascii="Cambria" w:hAnsi="Cambria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11.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Mahasiswa Memahami PMSC sebagai aktor HHI</w:t>
            </w:r>
          </w:p>
        </w:tc>
        <w:tc>
          <w:tcPr>
            <w:tcW w:w="2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1.Menjelaskan Sejarah dan Terminologi PMSC</w:t>
            </w:r>
          </w:p>
          <w:p>
            <w:pPr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2.Menjelaskan Kegiatan / Jasa PMSC</w:t>
            </w:r>
          </w:p>
          <w:p>
            <w:pPr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3.Menjelaskan Montreaux Document</w:t>
            </w:r>
          </w:p>
          <w:p>
            <w:pPr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4.Menjelaskan Obligasi International Terhadap Pelanggaran</w:t>
            </w:r>
          </w:p>
          <w:p>
            <w:pPr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5. Menjelaskan Regulasi PMSC</w:t>
            </w:r>
          </w:p>
          <w:p>
            <w:pPr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6.Menganalisis Larangan Bagi PMSC</w:t>
            </w:r>
          </w:p>
        </w:tc>
        <w:tc>
          <w:tcPr>
            <w:tcW w:w="1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1.Sejarah dan Terminologi PMSC</w:t>
            </w:r>
          </w:p>
          <w:p>
            <w:pPr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2.Kegiatan / Jasa PMSC</w:t>
            </w:r>
          </w:p>
          <w:p>
            <w:pPr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3.Montreaux Document</w:t>
            </w:r>
          </w:p>
          <w:p>
            <w:pPr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4.Obligasi International Terhadap Pelanggaran</w:t>
            </w:r>
          </w:p>
          <w:p>
            <w:pPr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5.Regulasi PMSC</w:t>
            </w:r>
          </w:p>
          <w:p>
            <w:pPr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6.Larangan Bagi PMSC</w:t>
            </w:r>
          </w:p>
        </w:tc>
        <w:tc>
          <w:tcPr>
            <w:tcW w:w="1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 xml:space="preserve">Ceramah, </w:t>
            </w:r>
          </w:p>
          <w:p>
            <w:pPr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 xml:space="preserve">Tanya jawab, </w:t>
            </w:r>
          </w:p>
          <w:p>
            <w:pPr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Diskusi model kelompok kecil,</w:t>
            </w:r>
          </w:p>
          <w:p>
            <w:pPr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Latihan</w:t>
            </w:r>
          </w:p>
        </w:tc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Mahasiswa memahami penjelasan dosen, mendiskusikan perkembangan PMSC di dunia</w:t>
            </w:r>
          </w:p>
        </w:tc>
        <w:tc>
          <w:tcPr>
            <w:tcW w:w="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Tes dan non tes</w:t>
            </w:r>
          </w:p>
          <w:p>
            <w:pPr>
              <w:rPr>
                <w:rFonts w:ascii="Cambria" w:hAnsi="Cambria"/>
                <w:sz w:val="22"/>
                <w:szCs w:val="22"/>
              </w:rPr>
            </w:pPr>
          </w:p>
          <w:p>
            <w:pPr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Tertulis</w:t>
            </w:r>
          </w:p>
          <w:p>
            <w:pPr>
              <w:jc w:val="both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6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Kemampuan mengidentifikasi Aktor yang terlibat dalam Konflik</w:t>
            </w:r>
          </w:p>
        </w:tc>
        <w:tc>
          <w:tcPr>
            <w:tcW w:w="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rFonts w:ascii="Cambria" w:hAnsi="Cambria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12.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rFonts w:ascii="Cambria" w:hAnsi="Cambria"/>
                <w:i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 xml:space="preserve">Mahasiswa mampu Menganalisis </w:t>
            </w:r>
            <w:r>
              <w:rPr>
                <w:rFonts w:ascii="Cambria" w:hAnsi="Cambria"/>
                <w:i/>
                <w:sz w:val="22"/>
                <w:szCs w:val="22"/>
              </w:rPr>
              <w:t>Woman in Conflict</w:t>
            </w:r>
          </w:p>
        </w:tc>
        <w:tc>
          <w:tcPr>
            <w:tcW w:w="2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1.Menjelaskan Sejarah Keterlibatan Perempuan dalam Konflik</w:t>
            </w:r>
          </w:p>
          <w:p>
            <w:pPr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2.Mengidentifikasi Bentuk-bentuk Kekerasan dalam Konflik terhadap Perempuan</w:t>
            </w:r>
          </w:p>
          <w:p>
            <w:pPr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3.Menjelaskan Resiko Keterlibatan Prempuan dalam Konflik</w:t>
            </w:r>
          </w:p>
          <w:p>
            <w:pPr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4.Menjelaskan Perempuan Pasca Konflik</w:t>
            </w:r>
          </w:p>
          <w:p>
            <w:pPr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5.Menjelaskan Gender dan Perdamaian</w:t>
            </w:r>
          </w:p>
          <w:p>
            <w:pPr>
              <w:jc w:val="both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1.Sejarah Keterlibatan Perempuan dalam Konflik</w:t>
            </w:r>
          </w:p>
          <w:p>
            <w:pPr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2.Bentuk-bentuk Kekerasan dalam Konflik terhadap Perempuan</w:t>
            </w:r>
          </w:p>
          <w:p>
            <w:pPr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3.Resiko Keterlibatan Prempuan dalam Konflik</w:t>
            </w:r>
          </w:p>
          <w:p>
            <w:pPr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4.Perempuan Pasca Konflik</w:t>
            </w:r>
          </w:p>
          <w:p>
            <w:pPr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5.Gender dan Perdamaian</w:t>
            </w:r>
          </w:p>
          <w:p>
            <w:pPr>
              <w:jc w:val="both"/>
              <w:rPr>
                <w:rFonts w:ascii="Cambria" w:hAnsi="Cambria"/>
                <w:sz w:val="22"/>
                <w:szCs w:val="22"/>
              </w:rPr>
            </w:pPr>
          </w:p>
          <w:p>
            <w:pPr>
              <w:jc w:val="both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 xml:space="preserve">Ceramah, </w:t>
            </w:r>
          </w:p>
          <w:p>
            <w:pPr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 xml:space="preserve">Tanya jawab, </w:t>
            </w:r>
          </w:p>
          <w:p>
            <w:pPr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Diskusi model kelompok kecil,</w:t>
            </w:r>
          </w:p>
          <w:p>
            <w:pPr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Latihan</w:t>
            </w:r>
          </w:p>
        </w:tc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Mahasiswa memahami penjelasan dosen, mendiskusikan aplikasi teori dalam upaya mengurangi dampak konflik terhadap perempuan</w:t>
            </w:r>
          </w:p>
        </w:tc>
        <w:tc>
          <w:tcPr>
            <w:tcW w:w="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Tes dan non tes</w:t>
            </w:r>
          </w:p>
          <w:p>
            <w:pPr>
              <w:rPr>
                <w:rFonts w:ascii="Cambria" w:hAnsi="Cambria"/>
                <w:sz w:val="22"/>
                <w:szCs w:val="22"/>
              </w:rPr>
            </w:pPr>
          </w:p>
          <w:p>
            <w:pPr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Tertulis</w:t>
            </w:r>
          </w:p>
          <w:p>
            <w:pPr>
              <w:jc w:val="both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6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Kemampuan Menganalisis sebab/Akibat dari Keterlibatan Perempuan dalam Konflik</w:t>
            </w:r>
          </w:p>
        </w:tc>
        <w:tc>
          <w:tcPr>
            <w:tcW w:w="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 xml:space="preserve"> 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rFonts w:ascii="Cambria" w:hAnsi="Cambria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13.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Mahasiswa mampu menganalisis Pelarangan Senjata dalam HHI</w:t>
            </w:r>
          </w:p>
        </w:tc>
        <w:tc>
          <w:tcPr>
            <w:tcW w:w="2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8"/>
              <w:ind w:left="0"/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1.Menjelaskan Sejarah Penggunaan Senjata dalam Perang</w:t>
            </w:r>
          </w:p>
          <w:p>
            <w:pPr>
              <w:pStyle w:val="8"/>
              <w:ind w:left="0"/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2.Menjelaskan Prinsip2 Penggunaan Senjata dalam Perang</w:t>
            </w:r>
          </w:p>
          <w:p>
            <w:pPr>
              <w:pStyle w:val="8"/>
              <w:ind w:left="0"/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3.Menyebutkan Jenis-jenis Senjata Yang Membahayakan</w:t>
            </w:r>
          </w:p>
          <w:p>
            <w:pPr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 xml:space="preserve">4.Menganalisis Regulasi Senjata </w:t>
            </w:r>
          </w:p>
        </w:tc>
        <w:tc>
          <w:tcPr>
            <w:tcW w:w="1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8"/>
              <w:ind w:left="0"/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1.Sejarah Penggunaan Senjata dalam Perang</w:t>
            </w:r>
          </w:p>
          <w:p>
            <w:pPr>
              <w:pStyle w:val="8"/>
              <w:ind w:left="0"/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2.Prinsip2 Penggunaan Senjata dalam Perang</w:t>
            </w:r>
          </w:p>
          <w:p>
            <w:pPr>
              <w:pStyle w:val="8"/>
              <w:ind w:left="0"/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3.Jenis-jenis Senjata Yang Membahayakan</w:t>
            </w:r>
          </w:p>
          <w:p>
            <w:pPr>
              <w:pStyle w:val="8"/>
              <w:ind w:left="0"/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4.Regulasi Senjata yang Membahayakan</w:t>
            </w:r>
          </w:p>
        </w:tc>
        <w:tc>
          <w:tcPr>
            <w:tcW w:w="1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 xml:space="preserve">Ceramah, </w:t>
            </w:r>
          </w:p>
          <w:p>
            <w:pPr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 xml:space="preserve">Tanya jawab, </w:t>
            </w:r>
          </w:p>
          <w:p>
            <w:pPr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Diskusi model kelompok kecil,</w:t>
            </w:r>
          </w:p>
          <w:p>
            <w:pPr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Latihan</w:t>
            </w:r>
          </w:p>
        </w:tc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Mahasiswa memahami penjelasan dosen, mendiskusikan Praktik Penggunaan Senjata dalam Perang</w:t>
            </w:r>
          </w:p>
        </w:tc>
        <w:tc>
          <w:tcPr>
            <w:tcW w:w="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Tes dan non tes</w:t>
            </w:r>
          </w:p>
          <w:p>
            <w:pPr>
              <w:rPr>
                <w:rFonts w:ascii="Cambria" w:hAnsi="Cambria"/>
                <w:sz w:val="22"/>
                <w:szCs w:val="22"/>
              </w:rPr>
            </w:pPr>
          </w:p>
          <w:p>
            <w:pPr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Tertulis</w:t>
            </w:r>
          </w:p>
          <w:p>
            <w:pPr>
              <w:jc w:val="both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6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Kemampuan dalam Menganalisis Efektivitas Regulasi Pelarangan Penggunaan Senjata dalam Sebuah Konflik / Perang</w:t>
            </w:r>
          </w:p>
        </w:tc>
        <w:tc>
          <w:tcPr>
            <w:tcW w:w="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rFonts w:ascii="Cambria" w:hAnsi="Cambria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14.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Mahasiswa mampu Menganalisis Peran ICC dan ICJ dalam HHI</w:t>
            </w:r>
          </w:p>
        </w:tc>
        <w:tc>
          <w:tcPr>
            <w:tcW w:w="2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1.Menjelaskan Sejarah ICC dan ICJ</w:t>
            </w:r>
          </w:p>
          <w:p>
            <w:pPr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2.membedakan Dasar Pembentukan  ICC dan ICJ</w:t>
            </w:r>
          </w:p>
          <w:p>
            <w:pPr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3.Merinci Struktur dan Keanggotaan ICC dan ICJ</w:t>
            </w:r>
          </w:p>
          <w:p>
            <w:pPr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4.Menjelaskan Yurisdiksi  ICC dan ICJ</w:t>
            </w:r>
          </w:p>
          <w:p>
            <w:pPr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5.Menjelaskan Tahapan Prosedural ICC dan ICJ</w:t>
            </w:r>
          </w:p>
          <w:p>
            <w:pPr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 xml:space="preserve">6. Menjelaskan Sumber Pendanaan </w:t>
            </w:r>
          </w:p>
          <w:p>
            <w:pPr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7.Menjelaskan Hubungan antara ICC dan PBB</w:t>
            </w:r>
          </w:p>
        </w:tc>
        <w:tc>
          <w:tcPr>
            <w:tcW w:w="1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1.Sejarah ICC dan ICJ</w:t>
            </w:r>
          </w:p>
          <w:p>
            <w:pPr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2.Dasar Pembentukan  ICC dan ICJ</w:t>
            </w:r>
          </w:p>
          <w:p>
            <w:pPr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3.Struktur dan Keanggotaan ICC dan ICJ</w:t>
            </w:r>
          </w:p>
          <w:p>
            <w:pPr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4.Yurisdiksi  ICC dan ICJ</w:t>
            </w:r>
          </w:p>
          <w:p>
            <w:pPr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5.Tahapan Prosedural ICC dan ICJ</w:t>
            </w:r>
          </w:p>
          <w:p>
            <w:pPr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 xml:space="preserve">6.Sumber Pendanaan </w:t>
            </w:r>
          </w:p>
          <w:p>
            <w:pPr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7. Hubungan antara ICC dan PBB</w:t>
            </w:r>
          </w:p>
        </w:tc>
        <w:tc>
          <w:tcPr>
            <w:tcW w:w="1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 xml:space="preserve">Ceramah, </w:t>
            </w:r>
          </w:p>
          <w:p>
            <w:pPr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 xml:space="preserve">Tanya jawab, </w:t>
            </w:r>
          </w:p>
          <w:p>
            <w:pPr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Diskusi model kelompok kecil,</w:t>
            </w:r>
          </w:p>
          <w:p>
            <w:pPr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Latihan</w:t>
            </w:r>
          </w:p>
        </w:tc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Mahasiswa memahami penjelasan dosen, mendiskusikan contoh kasus penyelesaian dalam ICC atau ICj</w:t>
            </w:r>
          </w:p>
        </w:tc>
        <w:tc>
          <w:tcPr>
            <w:tcW w:w="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Tes dan non tes</w:t>
            </w:r>
          </w:p>
          <w:p>
            <w:pPr>
              <w:rPr>
                <w:rFonts w:ascii="Cambria" w:hAnsi="Cambria"/>
                <w:sz w:val="22"/>
                <w:szCs w:val="22"/>
              </w:rPr>
            </w:pPr>
          </w:p>
          <w:p>
            <w:pPr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Tertulis</w:t>
            </w:r>
          </w:p>
          <w:p>
            <w:pPr>
              <w:jc w:val="both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6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Ketepatan dalam Mengalisis Peran ICC dan ICJ</w:t>
            </w:r>
          </w:p>
        </w:tc>
        <w:tc>
          <w:tcPr>
            <w:tcW w:w="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rFonts w:ascii="Cambria" w:hAnsi="Cambria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15.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Mahasiswa mampu Memahami Pelanggaran dan Sanksi dalam HHI</w:t>
            </w:r>
          </w:p>
        </w:tc>
        <w:tc>
          <w:tcPr>
            <w:tcW w:w="2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1,Menjelaskan Pengabaian HHI</w:t>
            </w:r>
          </w:p>
          <w:p>
            <w:pPr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2.Menjelaskan Kejahatan dalam Perang</w:t>
            </w:r>
          </w:p>
          <w:p>
            <w:pPr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3.Menjelaskan Kategori Pelanggaran dan Kejahatan dalam Perang</w:t>
            </w:r>
          </w:p>
          <w:p>
            <w:pPr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4.Mengidentifikasi Bentuk-bentuk Sanksi</w:t>
            </w:r>
          </w:p>
        </w:tc>
        <w:tc>
          <w:tcPr>
            <w:tcW w:w="1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1,Pengabaian HHI</w:t>
            </w:r>
          </w:p>
          <w:p>
            <w:pPr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2.Kejahatan dalam Perang</w:t>
            </w:r>
          </w:p>
          <w:p>
            <w:pPr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3.Kategori Pelanggaran dan Kejahatan dalam Perang</w:t>
            </w:r>
          </w:p>
          <w:p>
            <w:pPr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4.Bentuk-bentuk Sanksi</w:t>
            </w:r>
          </w:p>
        </w:tc>
        <w:tc>
          <w:tcPr>
            <w:tcW w:w="1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 xml:space="preserve">Ceramah, </w:t>
            </w:r>
          </w:p>
          <w:p>
            <w:pPr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 xml:space="preserve">Tanya jawab, </w:t>
            </w:r>
          </w:p>
          <w:p>
            <w:pPr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Diskusi model kelompok kecil,</w:t>
            </w:r>
          </w:p>
          <w:p>
            <w:pPr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Latihan</w:t>
            </w:r>
          </w:p>
        </w:tc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Mahasiswa memahami penjelasan dosen, mendiskusikan contoh Pelanggaran dalam HHI</w:t>
            </w:r>
          </w:p>
        </w:tc>
        <w:tc>
          <w:tcPr>
            <w:tcW w:w="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Tes dan non tes</w:t>
            </w:r>
          </w:p>
          <w:p>
            <w:pPr>
              <w:rPr>
                <w:rFonts w:ascii="Cambria" w:hAnsi="Cambria"/>
                <w:sz w:val="22"/>
                <w:szCs w:val="22"/>
              </w:rPr>
            </w:pPr>
          </w:p>
          <w:p>
            <w:pPr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Tertulis</w:t>
            </w:r>
          </w:p>
          <w:p>
            <w:pPr>
              <w:jc w:val="both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6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Kemampuan dalam menarapkan Sanksi (dalam contoh kasus Perang / Konflik)</w:t>
            </w:r>
          </w:p>
        </w:tc>
        <w:tc>
          <w:tcPr>
            <w:tcW w:w="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rFonts w:ascii="Cambria" w:hAnsi="Cambria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16.</w:t>
            </w:r>
          </w:p>
        </w:tc>
        <w:tc>
          <w:tcPr>
            <w:tcW w:w="1386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Cambria" w:hAnsi="Cambria"/>
                <w:b/>
                <w:sz w:val="22"/>
                <w:szCs w:val="22"/>
              </w:rPr>
            </w:pPr>
            <w:r>
              <w:rPr>
                <w:rFonts w:ascii="Cambria" w:hAnsi="Cambria"/>
                <w:b/>
                <w:sz w:val="22"/>
                <w:szCs w:val="22"/>
              </w:rPr>
              <w:t>Ujian Akhir Semester</w:t>
            </w:r>
          </w:p>
        </w:tc>
      </w:tr>
    </w:tbl>
    <w:p>
      <w:pPr>
        <w:jc w:val="both"/>
        <w:rPr>
          <w:rFonts w:ascii="Cambria" w:hAnsi="Cambria"/>
          <w:sz w:val="22"/>
          <w:szCs w:val="22"/>
          <w:lang w:val="en-US"/>
        </w:rPr>
      </w:pPr>
    </w:p>
    <w:p>
      <w:pPr>
        <w:rPr>
          <w:rFonts w:ascii="Cambria" w:hAnsi="Cambria"/>
          <w:sz w:val="22"/>
          <w:szCs w:val="22"/>
        </w:rPr>
      </w:pPr>
    </w:p>
    <w:p/>
    <w:sectPr>
      <w:pgSz w:w="15840" w:h="12240" w:orient="landscape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Bookman Old Style">
    <w:panose1 w:val="02050604050505020204"/>
    <w:charset w:val="00"/>
    <w:family w:val="roman"/>
    <w:pitch w:val="default"/>
    <w:sig w:usb0="00000287" w:usb1="00000000" w:usb2="00000000" w:usb3="00000000" w:csb0="2000009F" w:csb1="DFD70000"/>
  </w:font>
  <w:font w:name="Wingdings 3">
    <w:panose1 w:val="05040102010807070707"/>
    <w:charset w:val="02"/>
    <w:family w:val="roman"/>
    <w:pitch w:val="default"/>
    <w:sig w:usb0="00000000" w:usb1="00000000" w:usb2="00000000" w:usb3="00000000" w:csb0="80000000" w:csb1="00000000"/>
  </w:font>
  <w:font w:name="Monotype Corsiva">
    <w:panose1 w:val="03010101010201010101"/>
    <w:charset w:val="00"/>
    <w:family w:val="auto"/>
    <w:pitch w:val="default"/>
    <w:sig w:usb0="00000287" w:usb1="00000000" w:usb2="00000000" w:usb3="00000000" w:csb0="2000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1D20B52"/>
    <w:multiLevelType w:val="multilevel"/>
    <w:tmpl w:val="01D20B52"/>
    <w:lvl w:ilvl="0" w:tentative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DF1278"/>
    <w:multiLevelType w:val="multilevel"/>
    <w:tmpl w:val="0FDF1278"/>
    <w:lvl w:ilvl="0" w:tentative="0">
      <w:start w:val="1"/>
      <w:numFmt w:val="lowerLetter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decimal"/>
      <w:lvlText w:val="%3)"/>
      <w:lvlJc w:val="left"/>
      <w:pPr>
        <w:ind w:left="2340" w:hanging="360"/>
      </w:pPr>
      <w:rPr>
        <w:rFonts w:hint="default" w:eastAsia="Times New Roman"/>
        <w:b w:val="0"/>
      </w:rPr>
    </w:lvl>
    <w:lvl w:ilvl="3" w:tentative="0">
      <w:start w:val="1"/>
      <w:numFmt w:val="decimal"/>
      <w:lvlText w:val="%4)"/>
      <w:lvlJc w:val="left"/>
      <w:pPr>
        <w:ind w:left="2880" w:hanging="360"/>
      </w:pPr>
      <w:rPr>
        <w:rFonts w:hint="default" w:eastAsia="Times New Roman"/>
        <w:b w:val="0"/>
      </w:rPr>
    </w:lvl>
    <w:lvl w:ilvl="4" w:tentative="0">
      <w:start w:val="10"/>
      <w:numFmt w:val="upperLetter"/>
      <w:lvlText w:val="%5."/>
      <w:lvlJc w:val="left"/>
      <w:pPr>
        <w:ind w:left="3600" w:hanging="360"/>
      </w:pPr>
      <w:rPr>
        <w:rFonts w:hint="default"/>
      </w:r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F934AB"/>
    <w:multiLevelType w:val="multilevel"/>
    <w:tmpl w:val="1CF934AB"/>
    <w:lvl w:ilvl="0" w:tentative="0">
      <w:start w:val="1"/>
      <w:numFmt w:val="bullet"/>
      <w:lvlText w:val=""/>
      <w:lvlJc w:val="left"/>
      <w:pPr>
        <w:tabs>
          <w:tab w:val="left" w:pos="720"/>
        </w:tabs>
        <w:ind w:left="720" w:hanging="360"/>
      </w:pPr>
      <w:rPr>
        <w:rFonts w:hint="default" w:ascii="Wingdings 3" w:hAnsi="Wingdings 3"/>
      </w:rPr>
    </w:lvl>
    <w:lvl w:ilvl="1" w:tentative="0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  <w:rPr>
        <w:rFonts w:ascii="Arial" w:hAnsi="Arial" w:eastAsia="Calibri" w:cs="Arial"/>
      </w:rPr>
    </w:lvl>
    <w:lvl w:ilvl="2" w:tentative="0">
      <w:start w:val="1"/>
      <w:numFmt w:val="lowerLetter"/>
      <w:lvlText w:val="%3."/>
      <w:lvlJc w:val="left"/>
      <w:pPr>
        <w:ind w:left="2160" w:hanging="360"/>
      </w:pPr>
      <w:rPr>
        <w:rFonts w:hint="default"/>
        <w:b/>
      </w:rPr>
    </w:lvl>
    <w:lvl w:ilvl="3" w:tentative="0">
      <w:start w:val="1"/>
      <w:numFmt w:val="decimal"/>
      <w:lvlText w:val="%4)"/>
      <w:lvlJc w:val="left"/>
      <w:pPr>
        <w:ind w:left="2880" w:hanging="360"/>
      </w:pPr>
      <w:rPr>
        <w:rFonts w:hint="default"/>
        <w:b w:val="0"/>
      </w:rPr>
    </w:lvl>
    <w:lvl w:ilvl="4" w:tentative="0">
      <w:start w:val="1"/>
      <w:numFmt w:val="decimal"/>
      <w:lvlText w:val="%5."/>
      <w:lvlJc w:val="left"/>
      <w:pPr>
        <w:ind w:left="3600" w:hanging="360"/>
      </w:pPr>
      <w:rPr>
        <w:rFonts w:hint="default"/>
        <w:b w:val="0"/>
      </w:rPr>
    </w:lvl>
    <w:lvl w:ilvl="5" w:tentative="0">
      <w:start w:val="1"/>
      <w:numFmt w:val="bullet"/>
      <w:lvlText w:val=""/>
      <w:lvlJc w:val="left"/>
      <w:pPr>
        <w:tabs>
          <w:tab w:val="left" w:pos="4320"/>
        </w:tabs>
        <w:ind w:left="4320" w:hanging="360"/>
      </w:pPr>
      <w:rPr>
        <w:rFonts w:hint="default" w:ascii="Wingdings 3" w:hAnsi="Wingdings 3"/>
      </w:rPr>
    </w:lvl>
    <w:lvl w:ilvl="6" w:tentative="0">
      <w:start w:val="1"/>
      <w:numFmt w:val="bullet"/>
      <w:lvlText w:val=""/>
      <w:lvlJc w:val="left"/>
      <w:pPr>
        <w:tabs>
          <w:tab w:val="left" w:pos="5040"/>
        </w:tabs>
        <w:ind w:left="5040" w:hanging="360"/>
      </w:pPr>
      <w:rPr>
        <w:rFonts w:hint="default" w:ascii="Wingdings 3" w:hAnsi="Wingdings 3"/>
      </w:rPr>
    </w:lvl>
    <w:lvl w:ilvl="7" w:tentative="0">
      <w:start w:val="1"/>
      <w:numFmt w:val="bullet"/>
      <w:lvlText w:val=""/>
      <w:lvlJc w:val="left"/>
      <w:pPr>
        <w:tabs>
          <w:tab w:val="left" w:pos="5760"/>
        </w:tabs>
        <w:ind w:left="5760" w:hanging="360"/>
      </w:pPr>
      <w:rPr>
        <w:rFonts w:hint="default" w:ascii="Wingdings 3" w:hAnsi="Wingdings 3"/>
      </w:rPr>
    </w:lvl>
    <w:lvl w:ilvl="8" w:tentative="0">
      <w:start w:val="1"/>
      <w:numFmt w:val="bullet"/>
      <w:lvlText w:val=""/>
      <w:lvlJc w:val="left"/>
      <w:pPr>
        <w:tabs>
          <w:tab w:val="left" w:pos="6480"/>
        </w:tabs>
        <w:ind w:left="6480" w:hanging="360"/>
      </w:pPr>
      <w:rPr>
        <w:rFonts w:hint="default" w:ascii="Wingdings 3" w:hAnsi="Wingdings 3"/>
      </w:rPr>
    </w:lvl>
  </w:abstractNum>
  <w:abstractNum w:abstractNumId="3">
    <w:nsid w:val="33ED4A05"/>
    <w:multiLevelType w:val="multilevel"/>
    <w:tmpl w:val="33ED4A05"/>
    <w:lvl w:ilvl="0" w:tentative="0">
      <w:start w:val="1"/>
      <w:numFmt w:val="lowerLetter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341568E"/>
    <w:multiLevelType w:val="multilevel"/>
    <w:tmpl w:val="4341568E"/>
    <w:lvl w:ilvl="0" w:tentative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9D53BF8"/>
    <w:multiLevelType w:val="multilevel"/>
    <w:tmpl w:val="49D53BF8"/>
    <w:lvl w:ilvl="0" w:tentative="0">
      <w:start w:val="1"/>
      <w:numFmt w:val="lowerLetter"/>
      <w:lvlText w:val="%1."/>
      <w:lvlJc w:val="left"/>
      <w:pPr>
        <w:tabs>
          <w:tab w:val="left" w:pos="1440"/>
        </w:tabs>
        <w:ind w:left="144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F1D5F3B"/>
    <w:multiLevelType w:val="multilevel"/>
    <w:tmpl w:val="7F1D5F3B"/>
    <w:lvl w:ilvl="0" w:tentative="0">
      <w:start w:val="1"/>
      <w:numFmt w:val="lowerLetter"/>
      <w:lvlText w:val="%1)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5"/>
  </w:num>
  <w:num w:numId="6">
    <w:abstractNumId w:val="0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1502"/>
    <w:rsid w:val="000322E3"/>
    <w:rsid w:val="000A33DD"/>
    <w:rsid w:val="000E5C49"/>
    <w:rsid w:val="000E66B8"/>
    <w:rsid w:val="001950A1"/>
    <w:rsid w:val="001C0B7D"/>
    <w:rsid w:val="001D35DA"/>
    <w:rsid w:val="001E39EE"/>
    <w:rsid w:val="002735D0"/>
    <w:rsid w:val="00277046"/>
    <w:rsid w:val="002A50A3"/>
    <w:rsid w:val="00341C4B"/>
    <w:rsid w:val="00357F49"/>
    <w:rsid w:val="00361013"/>
    <w:rsid w:val="003872AB"/>
    <w:rsid w:val="003D239A"/>
    <w:rsid w:val="00437E40"/>
    <w:rsid w:val="0047705E"/>
    <w:rsid w:val="00496197"/>
    <w:rsid w:val="005A7E06"/>
    <w:rsid w:val="005F1502"/>
    <w:rsid w:val="00670671"/>
    <w:rsid w:val="006C743B"/>
    <w:rsid w:val="00713557"/>
    <w:rsid w:val="0077014A"/>
    <w:rsid w:val="00797BF7"/>
    <w:rsid w:val="007C46CF"/>
    <w:rsid w:val="007F2AF0"/>
    <w:rsid w:val="00833C73"/>
    <w:rsid w:val="0087010E"/>
    <w:rsid w:val="008C0133"/>
    <w:rsid w:val="008D7055"/>
    <w:rsid w:val="008E0F56"/>
    <w:rsid w:val="009C7354"/>
    <w:rsid w:val="00A03541"/>
    <w:rsid w:val="00A743AE"/>
    <w:rsid w:val="00A851A2"/>
    <w:rsid w:val="00AA17A7"/>
    <w:rsid w:val="00BA15ED"/>
    <w:rsid w:val="00C17FC4"/>
    <w:rsid w:val="00C20347"/>
    <w:rsid w:val="00CB150A"/>
    <w:rsid w:val="00CD6F00"/>
    <w:rsid w:val="00D35FCE"/>
    <w:rsid w:val="00D41C8E"/>
    <w:rsid w:val="00D64F51"/>
    <w:rsid w:val="00D76E32"/>
    <w:rsid w:val="00D820CD"/>
    <w:rsid w:val="00D91FA3"/>
    <w:rsid w:val="00DB082A"/>
    <w:rsid w:val="00DD7483"/>
    <w:rsid w:val="00E1037C"/>
    <w:rsid w:val="00EC3A8B"/>
    <w:rsid w:val="00EF5C60"/>
    <w:rsid w:val="00F176DD"/>
    <w:rsid w:val="00FB02CF"/>
    <w:rsid w:val="2ADE6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zh-CN" w:eastAsia="zh-CN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0"/>
    <w:unhideWhenUsed/>
    <w:uiPriority w:val="99"/>
    <w:pPr>
      <w:tabs>
        <w:tab w:val="center" w:pos="4513"/>
        <w:tab w:val="right" w:pos="9026"/>
      </w:tabs>
    </w:pPr>
  </w:style>
  <w:style w:type="paragraph" w:styleId="5">
    <w:name w:val="header"/>
    <w:basedOn w:val="1"/>
    <w:link w:val="9"/>
    <w:unhideWhenUsed/>
    <w:uiPriority w:val="99"/>
    <w:pPr>
      <w:tabs>
        <w:tab w:val="center" w:pos="4513"/>
        <w:tab w:val="right" w:pos="9026"/>
      </w:tabs>
    </w:pPr>
  </w:style>
  <w:style w:type="table" w:styleId="6">
    <w:name w:val="Table Grid"/>
    <w:basedOn w:val="3"/>
    <w:unhideWhenUsed/>
    <w:uiPriority w:val="59"/>
    <w:pPr>
      <w:spacing w:after="0" w:line="240" w:lineRule="auto"/>
    </w:pPr>
    <w:rPr>
      <w:lang w:val="zh-CN" w:eastAsia="zh-C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List Paragraph Char"/>
    <w:link w:val="8"/>
    <w:qFormat/>
    <w:locked/>
    <w:uiPriority w:val="34"/>
    <w:rPr>
      <w:rFonts w:ascii="Times New Roman" w:hAnsi="Times New Roman" w:eastAsia="Times New Roman" w:cs="Times New Roman"/>
      <w:sz w:val="24"/>
      <w:szCs w:val="24"/>
    </w:rPr>
  </w:style>
  <w:style w:type="paragraph" w:styleId="8">
    <w:name w:val="List Paragraph"/>
    <w:basedOn w:val="1"/>
    <w:link w:val="7"/>
    <w:qFormat/>
    <w:uiPriority w:val="34"/>
    <w:pPr>
      <w:ind w:left="720"/>
    </w:pPr>
    <w:rPr>
      <w:lang w:val="en-US" w:eastAsia="en-US"/>
    </w:rPr>
  </w:style>
  <w:style w:type="character" w:customStyle="1" w:styleId="9">
    <w:name w:val="Header Char"/>
    <w:basedOn w:val="2"/>
    <w:link w:val="5"/>
    <w:uiPriority w:val="99"/>
    <w:rPr>
      <w:rFonts w:ascii="Times New Roman" w:hAnsi="Times New Roman" w:eastAsia="Times New Roman" w:cs="Times New Roman"/>
      <w:sz w:val="24"/>
      <w:szCs w:val="24"/>
      <w:lang w:val="zh-CN" w:eastAsia="zh-CN"/>
    </w:rPr>
  </w:style>
  <w:style w:type="character" w:customStyle="1" w:styleId="10">
    <w:name w:val="Footer Char"/>
    <w:basedOn w:val="2"/>
    <w:link w:val="4"/>
    <w:qFormat/>
    <w:uiPriority w:val="99"/>
    <w:rPr>
      <w:rFonts w:ascii="Times New Roman" w:hAnsi="Times New Roman" w:eastAsia="Times New Roman" w:cs="Times New Roman"/>
      <w:sz w:val="24"/>
      <w:szCs w:val="24"/>
      <w:lang w:val="zh-CN" w:eastAsia="zh-C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</Company>
  <Pages>7</Pages>
  <Words>1632</Words>
  <Characters>9306</Characters>
  <Lines>77</Lines>
  <Paragraphs>21</Paragraphs>
  <TotalTime>2</TotalTime>
  <ScaleCrop>false</ScaleCrop>
  <LinksUpToDate>false</LinksUpToDate>
  <CharactersWithSpaces>10917</CharactersWithSpaces>
  <Application>WPS Office_11.2.0.11029_F1E327BC-269C-435d-A152-05C5408002CA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2018-12-05T14:25:00Z</dcterms:created>
  <dc:creator>HP</dc:creator>
  <cp:lastModifiedBy>ASUS</cp:lastModifiedBy>
  <dcterms:modified xsi:type="dcterms:W3CDTF">2022-03-15T07:11:06Z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1033-11.2.0.11029</vt:lpwstr>
  </property>
  <property fmtid="{D5CDD505-2E9C-101B-9397-08002B2CF9AE}" pid="3" name="ICV">
    <vt:lpwstr>6128793E027649A3B8935FB3983BF74B</vt:lpwstr>
  </property>
</Properties>
</file>