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0" w:leftChars="-100" w:right="-134" w:rightChars="-56" w:hanging="240" w:hangingChars="100"/>
        <w:jc w:val="both"/>
        <w:rPr>
          <w:rFonts w:hint="default" w:ascii="Bookman Old Style" w:hAnsi="Bookman Old Style"/>
          <w:b/>
          <w:bCs/>
          <w:i w:val="0"/>
          <w:iCs w:val="0"/>
          <w:u w:val="none"/>
          <w:lang w:val="en-US"/>
        </w:rPr>
      </w:pPr>
      <w:r>
        <w:rPr>
          <w:rFonts w:hint="default" w:ascii="Bookman Old Style" w:hAnsi="Bookman Old Style"/>
          <w:b/>
          <w:bCs/>
          <w:i w:val="0"/>
          <w:iCs w:val="0"/>
          <w:u w:val="none"/>
          <w:lang w:val="en-US"/>
        </w:rPr>
        <w:t>KEMENTERIAN PENDIDIKAN, KEBUDAYAAN, RISET DAN TEKNOLOGI</w:t>
      </w:r>
    </w:p>
    <w:p>
      <w:pPr>
        <w:spacing w:line="360" w:lineRule="auto"/>
        <w:jc w:val="center"/>
        <w:rPr>
          <w:rFonts w:hint="default" w:ascii="Bookman Old Style" w:hAnsi="Bookman Old Style"/>
          <w:b/>
          <w:bCs/>
          <w:i w:val="0"/>
          <w:iCs w:val="0"/>
          <w:u w:val="none"/>
          <w:lang w:val="en-US"/>
        </w:rPr>
      </w:pPr>
      <w:r>
        <w:rPr>
          <w:rFonts w:hint="default" w:ascii="Bookman Old Style" w:hAnsi="Bookman Old Style"/>
          <w:b/>
          <w:bCs/>
          <w:i w:val="0"/>
          <w:iCs w:val="0"/>
          <w:u w:val="none"/>
          <w:lang w:val="en-US"/>
        </w:rPr>
        <w:t>UNIVERITAS MULAWARMAN</w:t>
      </w:r>
    </w:p>
    <w:p>
      <w:pPr>
        <w:tabs>
          <w:tab w:val="left" w:pos="240"/>
        </w:tabs>
        <w:spacing w:line="360" w:lineRule="auto"/>
        <w:jc w:val="center"/>
        <w:rPr>
          <w:rFonts w:hint="default" w:ascii="Bookman Old Style" w:hAnsi="Bookman Old Style"/>
          <w:b/>
          <w:bCs/>
          <w:lang w:val="en-US"/>
        </w:rPr>
      </w:pPr>
      <w:r>
        <w:rPr>
          <w:rFonts w:hint="default" w:ascii="Bookman Old Style" w:hAnsi="Bookman Old Style"/>
          <w:b/>
          <w:bCs/>
          <w:i w:val="0"/>
          <w:iCs w:val="0"/>
          <w:u w:val="none"/>
          <w:lang w:val="en-US"/>
        </w:rPr>
        <w:t>HUBUNGAN INTERNASI</w:t>
      </w:r>
      <w:r>
        <w:rPr>
          <w:rFonts w:hint="default" w:ascii="Bookman Old Style" w:hAnsi="Bookman Old Style"/>
          <w:b/>
          <w:bCs/>
          <w:lang w:val="en-US"/>
        </w:rPr>
        <w:t>ONAL</w:t>
      </w:r>
    </w:p>
    <w:p>
      <w:pPr>
        <w:spacing w:line="360" w:lineRule="auto"/>
        <w:jc w:val="center"/>
        <w:rPr>
          <w:rFonts w:ascii="Bookman Old Style" w:hAnsi="Bookman Old Style"/>
          <w:b/>
          <w:bCs/>
        </w:rPr>
      </w:pPr>
    </w:p>
    <w:p>
      <w:pPr>
        <w:spacing w:line="360" w:lineRule="auto"/>
        <w:jc w:val="center"/>
        <w:rPr>
          <w:rFonts w:ascii="Bookman Old Style" w:hAnsi="Bookman Old Style"/>
          <w:b/>
          <w:bCs/>
        </w:rPr>
      </w:pPr>
    </w:p>
    <w:p>
      <w:pPr>
        <w:spacing w:line="36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RENCANA PEMBELAJARAN SEMESTER</w:t>
      </w:r>
    </w:p>
    <w:p>
      <w:pPr>
        <w:spacing w:line="36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(RPS)</w:t>
      </w:r>
    </w:p>
    <w:p>
      <w:pPr>
        <w:jc w:val="both"/>
        <w:rPr>
          <w:rFonts w:ascii="Bookman Old Style" w:hAnsi="Bookman Old Style"/>
          <w:b/>
        </w:rPr>
      </w:pPr>
    </w:p>
    <w:p>
      <w:pPr>
        <w:jc w:val="both"/>
        <w:rPr>
          <w:rFonts w:ascii="Bookman Old Style" w:hAnsi="Bookman Old Style"/>
          <w:bCs/>
          <w:sz w:val="18"/>
          <w:szCs w:val="18"/>
        </w:rPr>
      </w:pPr>
    </w:p>
    <w:p>
      <w:pPr>
        <w:jc w:val="both"/>
        <w:rPr>
          <w:rFonts w:ascii="Bookman Old Style" w:hAnsi="Bookman Old Style"/>
          <w:sz w:val="22"/>
          <w:szCs w:val="22"/>
          <w:lang w:val="id-ID"/>
        </w:rPr>
      </w:pPr>
    </w:p>
    <w:p>
      <w:pPr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</w:rPr>
        <w:t>Perguruan Tinggi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   </w:t>
      </w:r>
      <w:r>
        <w:rPr>
          <w:rFonts w:ascii="Bookman Old Style" w:hAnsi="Bookman Old Style"/>
        </w:rPr>
        <w:t xml:space="preserve">: </w:t>
      </w:r>
      <w:r>
        <w:rPr>
          <w:rFonts w:ascii="Bookman Old Style" w:hAnsi="Bookman Old Style"/>
          <w:lang w:val="id-ID"/>
        </w:rPr>
        <w:t>Universitas Mulawarman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Fakultas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>:</w:t>
      </w:r>
      <w:r>
        <w:rPr>
          <w:rFonts w:ascii="Bookman Old Style" w:hAnsi="Bookman Old Style"/>
        </w:rPr>
        <w:t xml:space="preserve"> Ilmu Sosisal dan Ilmu Politik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</w:rPr>
        <w:t>Jurusan/Program Studi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>:</w:t>
      </w:r>
      <w:r>
        <w:rPr>
          <w:rFonts w:ascii="Bookman Old Style" w:hAnsi="Bookman Old Style"/>
          <w:lang w:val="id-ID"/>
        </w:rPr>
        <w:t xml:space="preserve"> </w:t>
      </w:r>
      <w:r>
        <w:rPr>
          <w:rFonts w:ascii="Bookman Old Style" w:hAnsi="Bookman Old Style"/>
        </w:rPr>
        <w:t>Hubungan Internasional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Matakuliah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: </w:t>
      </w:r>
      <w:r>
        <w:rPr>
          <w:rFonts w:ascii="Bookman Old Style" w:hAnsi="Bookman Old Style"/>
        </w:rPr>
        <w:t>Hukum Internasional</w:t>
      </w:r>
    </w:p>
    <w:p>
      <w:pPr>
        <w:ind w:left="3119" w:hanging="3119"/>
        <w:rPr>
          <w:rFonts w:ascii="Bookman Old Style" w:hAnsi="Bookman Old Style"/>
          <w:bCs/>
        </w:rPr>
      </w:pPr>
      <w:r>
        <w:rPr>
          <w:rFonts w:ascii="Bookman Old Style" w:hAnsi="Bookman Old Style"/>
          <w:lang w:val="id-ID"/>
        </w:rPr>
        <w:t>Kode Matakuliah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: </w:t>
      </w:r>
      <w:r>
        <w:rPr>
          <w:rFonts w:ascii="Bookman Old Style" w:hAnsi="Bookman Old Style"/>
        </w:rPr>
        <w:t>19</w:t>
      </w:r>
      <w:r>
        <w:rPr>
          <w:rFonts w:ascii="Bookman Old Style" w:hAnsi="Bookman Old Style"/>
          <w:bCs/>
        </w:rPr>
        <w:t>0204603W018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SKS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: </w:t>
      </w:r>
      <w:r>
        <w:rPr>
          <w:rFonts w:ascii="Bookman Old Style" w:hAnsi="Bookman Old Style"/>
        </w:rPr>
        <w:t xml:space="preserve"> 3 SKS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Dosen Pengampu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: </w:t>
      </w:r>
      <w:r>
        <w:rPr>
          <w:rFonts w:ascii="Bookman Old Style" w:hAnsi="Bookman Old Style"/>
        </w:rPr>
        <w:t>Etha Pasan S.IP., MA</w:t>
      </w:r>
    </w:p>
    <w:p>
      <w:pPr>
        <w:ind w:left="3119" w:hanging="3119"/>
        <w:rPr>
          <w:rFonts w:hint="default" w:ascii="Bookman Old Style" w:hAnsi="Bookman Old Style"/>
          <w:lang w:val="en-US"/>
        </w:rPr>
      </w:pPr>
      <w:r>
        <w:rPr>
          <w:rFonts w:hint="default" w:ascii="Bookman Old Style" w:hAnsi="Bookman Old Style"/>
          <w:lang w:val="en-US"/>
        </w:rPr>
        <w:tab/>
        <w:t xml:space="preserve">  Frentyka S.IP., MA</w:t>
      </w:r>
    </w:p>
    <w:p>
      <w:pPr>
        <w:tabs>
          <w:tab w:val="left" w:pos="3240"/>
        </w:tabs>
        <w:spacing w:line="360" w:lineRule="auto"/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>
      <w:pPr>
        <w:ind w:left="3119" w:hanging="3119"/>
        <w:rPr>
          <w:rFonts w:ascii="Bookman Old Style" w:hAnsi="Bookman Old Style"/>
        </w:rPr>
      </w:pPr>
    </w:p>
    <w:p>
      <w:pPr>
        <w:jc w:val="both"/>
        <w:rPr>
          <w:rFonts w:ascii="Bookman Old Style" w:hAnsi="Bookman Old Style"/>
        </w:rPr>
      </w:pPr>
    </w:p>
    <w:p>
      <w:pPr>
        <w:jc w:val="both"/>
        <w:rPr>
          <w:rFonts w:ascii="Bookman Old Style" w:hAnsi="Bookman Old Style"/>
        </w:rPr>
      </w:pPr>
    </w:p>
    <w:p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Capaian Pembelajaran (CPL) Program Studi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: </w:t>
      </w:r>
    </w:p>
    <w:p>
      <w:pPr>
        <w:pStyle w:val="15"/>
        <w:numPr>
          <w:ilvl w:val="0"/>
          <w:numId w:val="1"/>
        </w:numPr>
        <w:spacing w:line="276" w:lineRule="auto"/>
        <w:contextualSpacing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SIKAP:</w:t>
      </w:r>
    </w:p>
    <w:p>
      <w:pPr>
        <w:numPr>
          <w:ilvl w:val="0"/>
          <w:numId w:val="2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karakter dan nilai-nilai dalam bidang keilmuan hubungan internasional</w:t>
      </w:r>
    </w:p>
    <w:p>
      <w:pPr>
        <w:numPr>
          <w:ilvl w:val="0"/>
          <w:numId w:val="2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kepedulian terhadap masalah lingkungan hutan hujan tropis</w:t>
      </w:r>
    </w:p>
    <w:p>
      <w:pPr>
        <w:numPr>
          <w:ilvl w:val="0"/>
          <w:numId w:val="2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nilai-nilai dan etika lingkungan</w:t>
      </w:r>
    </w:p>
    <w:p>
      <w:pPr>
        <w:numPr>
          <w:ilvl w:val="0"/>
          <w:numId w:val="2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kepedulian terhadap isu dan permasalahan di wilayah Perbatasan</w:t>
      </w:r>
    </w:p>
    <w:p>
      <w:pPr>
        <w:ind w:left="720" w:hanging="36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2) 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>PENGETAHUAN:</w:t>
      </w:r>
    </w:p>
    <w:p>
      <w:pPr>
        <w:numPr>
          <w:ilvl w:val="1"/>
          <w:numId w:val="3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t>Menghasilkan lulusan yang memiliki kompetensi di bidang HI.</w:t>
      </w:r>
    </w:p>
    <w:p>
      <w:pPr>
        <w:numPr>
          <w:ilvl w:val="1"/>
          <w:numId w:val="3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Menghasilkan lulusan yang memahami aspek-aspek lingkungan hutan hujan tropis</w:t>
      </w:r>
    </w:p>
    <w:p>
      <w:pPr>
        <w:numPr>
          <w:ilvl w:val="1"/>
          <w:numId w:val="3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Menghasilkan lulusan yang memahami isu dan permasalahan wilayah perbatasan</w:t>
      </w:r>
    </w:p>
    <w:p>
      <w:pPr>
        <w:ind w:left="720" w:hanging="36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3) 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>KETERAMPILAN UMUM:</w:t>
      </w:r>
    </w:p>
    <w:p>
      <w:pPr>
        <w:numPr>
          <w:ilvl w:val="0"/>
          <w:numId w:val="4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Menghasilkan lulusan yang memiliki pengetahuan dan keterampilan dalam hubungan internasional</w:t>
      </w:r>
    </w:p>
    <w:p>
      <w:pPr>
        <w:numPr>
          <w:ilvl w:val="0"/>
          <w:numId w:val="4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Menghasilkan lulusan yang memiliki kemampuan dalam analisis persoalan-persoalan hutan hujan tropis</w:t>
      </w:r>
    </w:p>
    <w:p>
      <w:pPr>
        <w:numPr>
          <w:ilvl w:val="0"/>
          <w:numId w:val="4"/>
        </w:numPr>
        <w:spacing w:line="276" w:lineRule="auto"/>
        <w:ind w:left="144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Menghasilkan lulusan yang memiliki kemampuan analisis mengenai masalah wilayah perbatasan</w:t>
      </w:r>
    </w:p>
    <w:p>
      <w:pPr>
        <w:tabs>
          <w:tab w:val="left" w:pos="720"/>
        </w:tabs>
        <w:ind w:left="720" w:hanging="36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4)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KETERAMPILAN KHUSUS: </w:t>
      </w:r>
    </w:p>
    <w:p>
      <w:pPr>
        <w:numPr>
          <w:ilvl w:val="0"/>
          <w:numId w:val="5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keterampilan di bidang diplomasi</w:t>
      </w:r>
    </w:p>
    <w:p>
      <w:pPr>
        <w:numPr>
          <w:ilvl w:val="0"/>
          <w:numId w:val="5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keterampilan untuk menangani persoalan-persoalan hutan hujan tropis secara internasional</w:t>
      </w:r>
    </w:p>
    <w:p>
      <w:pPr>
        <w:numPr>
          <w:ilvl w:val="0"/>
          <w:numId w:val="5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keterampilan untuk menangani persoalan-persoalan di wilayah perbatasan</w:t>
      </w:r>
    </w:p>
    <w:p>
      <w:p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</w:p>
    <w:p>
      <w:pPr>
        <w:spacing w:line="276" w:lineRule="auto"/>
        <w:ind w:left="2835" w:hanging="2835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Pola Ilmiah Pokok (PIP) Unmul yang Diintegrasikan :</w:t>
      </w:r>
    </w:p>
    <w:p>
      <w:pPr>
        <w:spacing w:line="276" w:lineRule="auto"/>
        <w:ind w:left="2835" w:hanging="2835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Kajian Hutan Tropis basah dan Lingkungannya.</w:t>
      </w:r>
    </w:p>
    <w:p>
      <w:pPr>
        <w:pStyle w:val="15"/>
        <w:tabs>
          <w:tab w:val="left" w:pos="284"/>
        </w:tabs>
        <w:ind w:left="0"/>
        <w:jc w:val="both"/>
        <w:rPr>
          <w:rFonts w:ascii="Bookman Old Style" w:hAnsi="Bookman Old Style"/>
          <w:b/>
          <w:sz w:val="22"/>
          <w:szCs w:val="22"/>
        </w:rPr>
      </w:pPr>
    </w:p>
    <w:p>
      <w:pPr>
        <w:pStyle w:val="15"/>
        <w:tabs>
          <w:tab w:val="left" w:pos="284"/>
        </w:tabs>
        <w:ind w:left="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Capaian Pembelajaran Mata Kuliah (CPMK) :</w:t>
      </w:r>
    </w:p>
    <w:p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Mampu menganalisis kasus-kasus konflik/sengketa baik internal maupun internasional dalam kerangka Hukum Internasional.</w:t>
      </w:r>
    </w:p>
    <w:p>
      <w:pPr>
        <w:jc w:val="both"/>
        <w:rPr>
          <w:rFonts w:ascii="Bookman Old Style" w:hAnsi="Bookman Old Style"/>
          <w:sz w:val="22"/>
          <w:szCs w:val="22"/>
        </w:rPr>
      </w:pPr>
    </w:p>
    <w:p>
      <w:p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Kemampuan Khusus (KK) Mata Kuliah :</w:t>
      </w:r>
    </w:p>
    <w:p>
      <w:pPr>
        <w:numPr>
          <w:ilvl w:val="4"/>
          <w:numId w:val="3"/>
        </w:numPr>
        <w:tabs>
          <w:tab w:val="left" w:pos="360"/>
        </w:tabs>
        <w:ind w:left="36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Mahasiswa dapat mendeskripsikan definisi hukum internasional, sifat dan wujud hukum internasional, hubungan hukum internasional dan hukum nasional, serta kekuatan dan kelemahan hukum internasional.</w:t>
      </w:r>
    </w:p>
    <w:p>
      <w:pPr>
        <w:numPr>
          <w:ilvl w:val="4"/>
          <w:numId w:val="3"/>
        </w:numPr>
        <w:tabs>
          <w:tab w:val="left" w:pos="360"/>
        </w:tabs>
        <w:ind w:left="36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Mahasiswa dapat menjelaskan subjek dan sumber  hukum internasional dan mengapa komponen tersebut dijadikan sumber dan subjek hukum internasional.</w:t>
      </w:r>
    </w:p>
    <w:p>
      <w:pPr>
        <w:numPr>
          <w:ilvl w:val="4"/>
          <w:numId w:val="3"/>
        </w:numPr>
        <w:tabs>
          <w:tab w:val="left" w:pos="360"/>
        </w:tabs>
        <w:ind w:left="36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Mahasiswa dapat menjelaskan sejara awal hukum internasional dan fase-fase hukum internasional dari zaman kuno hingga zaman modern.</w:t>
      </w:r>
    </w:p>
    <w:p>
      <w:pPr>
        <w:numPr>
          <w:ilvl w:val="4"/>
          <w:numId w:val="3"/>
        </w:numPr>
        <w:tabs>
          <w:tab w:val="left" w:pos="360"/>
        </w:tabs>
        <w:ind w:left="36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Mahasiswa dapat mengidentifikasi proses terbentuknya Negara dan komponen penyusun berdirinya sebuah Negara</w:t>
      </w:r>
    </w:p>
    <w:p>
      <w:pPr>
        <w:numPr>
          <w:ilvl w:val="4"/>
          <w:numId w:val="3"/>
        </w:numPr>
        <w:tabs>
          <w:tab w:val="left" w:pos="360"/>
        </w:tabs>
        <w:ind w:left="36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Mahasiswa dapat membedakan berbagai macam kedaulatan dan yurisdiksi, cara memperoleh kedaulatan.</w:t>
      </w:r>
    </w:p>
    <w:p>
      <w:pPr>
        <w:numPr>
          <w:ilvl w:val="4"/>
          <w:numId w:val="3"/>
        </w:numPr>
        <w:tabs>
          <w:tab w:val="left" w:pos="360"/>
        </w:tabs>
        <w:ind w:left="36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Mahasiswa dapat membedakan tugas dan fungsi perwakilan diplomatic</w:t>
      </w:r>
    </w:p>
    <w:p>
      <w:pPr>
        <w:numPr>
          <w:ilvl w:val="4"/>
          <w:numId w:val="3"/>
        </w:numPr>
        <w:tabs>
          <w:tab w:val="left" w:pos="360"/>
        </w:tabs>
        <w:ind w:left="36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Mahasiswa dapat mengidentifikasi tahapan pembuatan, pembatalan suatu perjanjian internasional</w:t>
      </w:r>
    </w:p>
    <w:p>
      <w:pPr>
        <w:numPr>
          <w:ilvl w:val="4"/>
          <w:numId w:val="3"/>
        </w:numPr>
        <w:tabs>
          <w:tab w:val="left" w:pos="360"/>
        </w:tabs>
        <w:ind w:left="36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Mahasiswa dapat menganalisis beberapa kasus sengketa internasional</w:t>
      </w:r>
    </w:p>
    <w:p>
      <w:pPr>
        <w:pStyle w:val="15"/>
        <w:tabs>
          <w:tab w:val="left" w:pos="284"/>
        </w:tabs>
        <w:ind w:left="0"/>
        <w:jc w:val="both"/>
        <w:rPr>
          <w:rFonts w:ascii="Bookman Old Style" w:hAnsi="Bookman Old Style"/>
          <w:sz w:val="22"/>
          <w:szCs w:val="22"/>
        </w:rPr>
      </w:pPr>
    </w:p>
    <w:p>
      <w:pPr>
        <w:pStyle w:val="4"/>
        <w:tabs>
          <w:tab w:val="left" w:pos="2977"/>
        </w:tabs>
        <w:kinsoku w:val="0"/>
        <w:overflowPunct w:val="0"/>
        <w:ind w:left="2835" w:hanging="2835"/>
        <w:jc w:val="left"/>
        <w:rPr>
          <w:rFonts w:ascii="Bookman Old Style" w:hAnsi="Bookman Old Style"/>
          <w:b/>
          <w:szCs w:val="24"/>
          <w:lang w:val="id-ID"/>
        </w:rPr>
      </w:pPr>
      <w:r>
        <w:rPr>
          <w:rFonts w:ascii="Bookman Old Style" w:hAnsi="Bookman Old Style"/>
          <w:b/>
          <w:spacing w:val="-1"/>
          <w:szCs w:val="24"/>
        </w:rPr>
        <w:t>Daftar</w:t>
      </w:r>
      <w:r>
        <w:rPr>
          <w:rFonts w:ascii="Bookman Old Style" w:hAnsi="Bookman Old Style"/>
          <w:b/>
          <w:spacing w:val="-12"/>
          <w:szCs w:val="24"/>
        </w:rPr>
        <w:t xml:space="preserve"> </w:t>
      </w:r>
      <w:r>
        <w:rPr>
          <w:rFonts w:ascii="Bookman Old Style" w:hAnsi="Bookman Old Style"/>
          <w:b/>
          <w:szCs w:val="24"/>
        </w:rPr>
        <w:t>Referensi</w:t>
      </w:r>
      <w:r>
        <w:rPr>
          <w:rFonts w:ascii="Bookman Old Style" w:hAnsi="Bookman Old Style"/>
          <w:szCs w:val="24"/>
        </w:rPr>
        <w:t xml:space="preserve"> </w:t>
      </w:r>
      <w:r>
        <w:rPr>
          <w:rFonts w:ascii="Bookman Old Style" w:hAnsi="Bookman Old Style"/>
          <w:szCs w:val="24"/>
        </w:rPr>
        <w:tab/>
      </w:r>
      <w:r>
        <w:rPr>
          <w:rFonts w:ascii="Bookman Old Style" w:hAnsi="Bookman Old Style"/>
          <w:b/>
          <w:szCs w:val="24"/>
          <w:lang w:val="id-ID"/>
        </w:rPr>
        <w:t>: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835" w:hanging="2835"/>
        <w:rPr>
          <w:rFonts w:ascii="Bookman Old Style" w:hAnsi="Bookman Old Style"/>
        </w:rPr>
      </w:pPr>
      <w:r>
        <w:rPr>
          <w:rFonts w:ascii="Bookman Old Style" w:hAnsi="Bookman Old Style"/>
        </w:rPr>
        <w:t>1.  Alma Manuputy dkk., Hukum Iternasional, Rech-ta, Depok. 2008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835" w:hanging="2835"/>
        <w:rPr>
          <w:rFonts w:ascii="Bookman Old Style" w:hAnsi="Bookman Old Style"/>
        </w:rPr>
      </w:pPr>
      <w:r>
        <w:rPr>
          <w:rFonts w:ascii="Bookman Old Style" w:hAnsi="Bookman Old Style"/>
        </w:rPr>
        <w:t>2.  DR. Boer Mauna, Hukum Internasional, Alumni, Bandung.2005</w:t>
      </w:r>
    </w:p>
    <w:p>
      <w:pPr>
        <w:pStyle w:val="4"/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3.  Dedi Supriyadi, M.Ag, Hukum Internasional, Pustaka Setia, Bandung. 2013</w:t>
      </w:r>
    </w:p>
    <w:p>
      <w:pPr>
        <w:pStyle w:val="4"/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4.  DR. FX. Adji Samekto, SH., M.H., Negara dalam Hukum Internasional. Citra Aditya Bakti. Bandung. 2009</w:t>
      </w:r>
    </w:p>
    <w:p>
      <w:pPr>
        <w:pStyle w:val="4"/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5. Huala Adolf, Ph.D, Hukum penyelesaian Sengketa Internasional, Sinar Grafika. Jakarta. 2004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6. JG. STARKE, Pengantar Hukum Internasional (jilid 1  2), Jakarta. Sinar Grafika. 2001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7.  Mirza S. Buana SH, Hukum Internasional, FH UNLAM Press. Banjarmasin. 2007</w:t>
      </w:r>
    </w:p>
    <w:p>
      <w:pPr>
        <w:pStyle w:val="4"/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8. Prof. Sugeng Istanto, Hukum Internasional, Uni. Adma Jaya, Jogjakarta. 2010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835" w:hanging="2835"/>
        <w:rPr>
          <w:rFonts w:ascii="Bookman Old Style" w:hAnsi="Bookman Old Style"/>
        </w:rPr>
      </w:pPr>
      <w:r>
        <w:rPr>
          <w:rFonts w:ascii="Bookman Old Style" w:hAnsi="Bookman Old Style"/>
        </w:rPr>
        <w:t>9. Sefriani M.Hum, Hukum Internasional, Jakarta, Rajawali Press. 2011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70" w:hanging="270"/>
        <w:rPr>
          <w:rFonts w:ascii="Bookman Old Style" w:hAnsi="Bookman Old Style"/>
        </w:rPr>
      </w:pPr>
      <w:r>
        <w:rPr>
          <w:rFonts w:ascii="Bookman Old Style" w:hAnsi="Bookman Old Style"/>
        </w:rPr>
        <w:t>10.Setyo Widagdo, SH., M.Hum &amp; Hanif Nur., SH., M.Hum., Hukum Diplomatik dan Konsuler. Bayu Media. 2008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70" w:hanging="270"/>
        <w:rPr>
          <w:rFonts w:ascii="Bookman Old Style" w:hAnsi="Bookman Old Style"/>
        </w:rPr>
      </w:pPr>
      <w:r>
        <w:rPr>
          <w:rFonts w:ascii="Bookman Old Style" w:hAnsi="Bookman Old Style"/>
        </w:rPr>
        <w:t>11. Syahmin AK., SH.,M.H., Hukum DIplomatik. Rajawali Press. Jakarta. 2008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70" w:hanging="270"/>
        <w:rPr>
          <w:rFonts w:ascii="Bookman Old Style" w:hAnsi="Bookman Old Style"/>
        </w:rPr>
      </w:pPr>
    </w:p>
    <w:p>
      <w:pPr>
        <w:pStyle w:val="15"/>
        <w:ind w:left="360"/>
        <w:jc w:val="center"/>
        <w:rPr>
          <w:b/>
        </w:rPr>
      </w:pPr>
    </w:p>
    <w:p>
      <w:pPr>
        <w:pStyle w:val="15"/>
        <w:ind w:left="360"/>
        <w:jc w:val="center"/>
        <w:rPr>
          <w:b/>
        </w:rPr>
      </w:pPr>
      <w:r>
        <w:rPr>
          <w:b/>
        </w:rPr>
        <w:t>PETA CAPAIAN PEMBELAJARAN</w:t>
      </w:r>
    </w:p>
    <w:p>
      <w:pPr>
        <w:pStyle w:val="15"/>
        <w:ind w:left="360"/>
        <w:jc w:val="center"/>
        <w:rPr>
          <w:b/>
        </w:rPr>
      </w:pPr>
    </w:p>
    <w:p>
      <w:pPr>
        <w:pStyle w:val="15"/>
        <w:ind w:left="360"/>
        <w:jc w:val="both"/>
        <w:rPr>
          <w:b/>
        </w:rPr>
      </w:pPr>
    </w:p>
    <w:p>
      <w:pPr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</w:rPr>
        <w:pict>
          <v:rect id="_x0000_s1026" o:spid="_x0000_s1026" o:spt="1" style="position:absolute;left:0pt;margin-left:25.2pt;margin-top:5.5pt;height:41.3pt;width:399pt;z-index:251659264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</w:pPr>
                  <w:r>
                    <w:rPr>
                      <w:rFonts w:ascii="Bookman Old Style" w:hAnsi="Bookman Old Style"/>
                      <w:sz w:val="22"/>
                      <w:szCs w:val="22"/>
                    </w:rPr>
                    <w:t>Mampu menganalisis kasus-kasus konflik/sengketa baik internal maupun internasional dalam kerangka Hukum Internasional.</w:t>
                  </w:r>
                </w:p>
              </w:txbxContent>
            </v:textbox>
          </v:rect>
        </w:pict>
      </w: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shape id="_x0000_s1041" o:spid="_x0000_s1041" o:spt="32" type="#_x0000_t32" style="position:absolute;left:0pt;flip:y;margin-left:215.7pt;margin-top:4.55pt;height:28.5pt;width:0pt;z-index:25167462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>
      <w:pPr>
        <w:pStyle w:val="7"/>
        <w:tabs>
          <w:tab w:val="left" w:pos="8364"/>
        </w:tabs>
        <w:jc w:val="center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rect id="_x0000_s1027" o:spid="_x0000_s1027" o:spt="1" style="position:absolute;left:0pt;margin-left:48.45pt;margin-top:4.85pt;height:38.25pt;width:353.25pt;z-index:251660288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Bookman Old Style" w:hAnsi="Bookman Old Style"/>
                      <w:sz w:val="22"/>
                      <w:szCs w:val="22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</w:rPr>
                    <w:t xml:space="preserve">8. Mahasiswa dapat menganalisis beberapa kasus </w:t>
                  </w:r>
                </w:p>
                <w:p>
                  <w:pPr>
                    <w:jc w:val="center"/>
                  </w:pPr>
                  <w:r>
                    <w:rPr>
                      <w:rFonts w:ascii="Bookman Old Style" w:hAnsi="Bookman Old Style"/>
                      <w:sz w:val="22"/>
                      <w:szCs w:val="22"/>
                    </w:rPr>
                    <w:t>sengketa internasional</w:t>
                  </w:r>
                </w:p>
              </w:txbxContent>
            </v:textbox>
          </v:rect>
        </w:pict>
      </w: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shape id="_x0000_s1040" o:spid="_x0000_s1040" o:spt="32" type="#_x0000_t32" style="position:absolute;left:0pt;flip:y;margin-left:215.7pt;margin-top:0.85pt;height:28.5pt;width:0pt;z-index:251673600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rect id="_x0000_s1028" o:spid="_x0000_s1028" o:spt="1" style="position:absolute;left:0pt;margin-left:48.45pt;margin-top:1.2pt;height:42.75pt;width:353.25pt;z-index:251661312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tabs>
                      <w:tab w:val="left" w:pos="360"/>
                    </w:tabs>
                    <w:ind w:left="360"/>
                    <w:jc w:val="center"/>
                    <w:rPr>
                      <w:rFonts w:ascii="Bookman Old Style" w:hAnsi="Bookman Old Style"/>
                      <w:b/>
                      <w:sz w:val="22"/>
                      <w:szCs w:val="22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</w:rPr>
                    <w:t>7. Mahasiswa dapat mengidentifikasi tahapan pembuatan, pembatalan suatu perjanjian internasional</w:t>
                  </w:r>
                </w:p>
                <w:p/>
              </w:txbxContent>
            </v:textbox>
          </v:rect>
        </w:pict>
      </w: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shape id="_x0000_s1039" o:spid="_x0000_s1039" o:spt="32" type="#_x0000_t32" style="position:absolute;left:0pt;flip:y;margin-left:215.7pt;margin-top:1.7pt;height:23.25pt;width:0pt;z-index:251672576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shape id="_x0000_s1038" o:spid="_x0000_s1038" o:spt="32" type="#_x0000_t32" style="position:absolute;left:0pt;margin-left:369.45pt;margin-top:10.85pt;height:17.4pt;width:0pt;z-index:25167155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Bookman Old Style" w:hAnsi="Bookman Old Style"/>
        </w:rPr>
        <w:pict>
          <v:shape id="_x0000_s1037" o:spid="_x0000_s1037" o:spt="32" type="#_x0000_t32" style="position:absolute;left:0pt;margin-left:193.95pt;margin-top:10.85pt;height:17.4pt;width:0pt;z-index:25167052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Bookman Old Style" w:hAnsi="Bookman Old Style"/>
        </w:rPr>
        <w:pict>
          <v:shape id="_x0000_s1036" o:spid="_x0000_s1036" o:spt="32" type="#_x0000_t32" style="position:absolute;left:0pt;margin-left:53.7pt;margin-top:10.85pt;height:17.4pt;width:0pt;z-index:251669504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Bookman Old Style" w:hAnsi="Bookman Old Style"/>
        </w:rPr>
        <w:pict>
          <v:shape id="_x0000_s1035" o:spid="_x0000_s1035" o:spt="32" type="#_x0000_t32" style="position:absolute;left:0pt;margin-left:53.7pt;margin-top:10.85pt;height:0pt;width:315.75pt;z-index:25166848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rect id="_x0000_s1031" o:spid="_x0000_s1031" o:spt="1" style="position:absolute;left:0pt;margin-left:269.7pt;margin-top:0.1pt;height:98.85pt;width:178.5pt;z-index:251664384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tabs>
                      <w:tab w:val="left" w:pos="360"/>
                    </w:tabs>
                    <w:ind w:left="360"/>
                    <w:jc w:val="center"/>
                    <w:rPr>
                      <w:rFonts w:ascii="Bookman Old Style" w:hAnsi="Bookman Old Style"/>
                      <w:b/>
                      <w:sz w:val="22"/>
                      <w:szCs w:val="22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</w:rPr>
                    <w:t>4. Mahasiswa dapat mengidentifikasi proses terbentuknya Negara dan komponen penyusun berdirinya sebuah Negara</w:t>
                  </w:r>
                </w:p>
                <w:p>
                  <w:pPr>
                    <w:jc w:val="center"/>
                  </w:pPr>
                </w:p>
              </w:txbxContent>
            </v:textbox>
          </v:rect>
        </w:pict>
      </w:r>
      <w:r>
        <w:rPr>
          <w:rFonts w:ascii="Bookman Old Style" w:hAnsi="Bookman Old Style"/>
        </w:rPr>
        <w:pict>
          <v:rect id="_x0000_s1030" o:spid="_x0000_s1030" o:spt="1" style="position:absolute;left:0pt;margin-left:118.95pt;margin-top:0.1pt;height:98.85pt;width:141pt;z-index:251663360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</w:pPr>
                  <w:r>
                    <w:rPr>
                      <w:rFonts w:ascii="Bookman Old Style" w:hAnsi="Bookman Old Style"/>
                      <w:sz w:val="22"/>
                      <w:szCs w:val="22"/>
                    </w:rPr>
                    <w:t>5. Mahasiswa dapat membedakan berbagai macam kedaulatan dan yurisdiksi, cara memperoleh kedaulatan.</w:t>
                  </w:r>
                </w:p>
              </w:txbxContent>
            </v:textbox>
          </v:rect>
        </w:pict>
      </w:r>
      <w:r>
        <w:rPr>
          <w:rFonts w:ascii="Bookman Old Style" w:hAnsi="Bookman Old Style"/>
        </w:rPr>
        <w:pict>
          <v:rect id="_x0000_s1029" o:spid="_x0000_s1029" o:spt="1" style="position:absolute;left:0pt;margin-left:-15.3pt;margin-top:0.1pt;height:98.85pt;width:116.25pt;z-index:251662336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</w:pPr>
                  <w:r>
                    <w:rPr>
                      <w:rFonts w:ascii="Bookman Old Style" w:hAnsi="Bookman Old Style"/>
                      <w:sz w:val="22"/>
                      <w:szCs w:val="22"/>
                    </w:rPr>
                    <w:t>6. Mahasiswa dapat membedakan tugas dan fungsi perwakilan diplomatic dan konsuler</w:t>
                  </w:r>
                </w:p>
              </w:txbxContent>
            </v:textbox>
          </v:rect>
        </w:pict>
      </w: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shape id="_x0000_s1046" o:spid="_x0000_s1046" o:spt="32" type="#_x0000_t32" style="position:absolute;left:0pt;flip:y;margin-left:382.95pt;margin-top:0.35pt;height:20.25pt;width:0pt;z-index:25167974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Bookman Old Style" w:hAnsi="Bookman Old Style"/>
        </w:rPr>
        <w:pict>
          <v:shape id="_x0000_s1045" o:spid="_x0000_s1045" o:spt="32" type="#_x0000_t32" style="position:absolute;left:0pt;flip:y;margin-left:193.95pt;margin-top:0.35pt;height:20.25pt;width:0pt;z-index:251678720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Bookman Old Style" w:hAnsi="Bookman Old Style"/>
        </w:rPr>
        <w:pict>
          <v:shape id="_x0000_s1044" o:spid="_x0000_s1044" o:spt="32" type="#_x0000_t32" style="position:absolute;left:0pt;flip:y;margin-left:39.45pt;margin-top:0.35pt;height:21pt;width:0pt;z-index:251677696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Bookman Old Style" w:hAnsi="Bookman Old Style"/>
        </w:rPr>
        <w:pict>
          <v:shape id="_x0000_s1042" o:spid="_x0000_s1042" o:spt="32" type="#_x0000_t32" style="position:absolute;left:0pt;margin-left:43.2pt;margin-top:0.35pt;height:0pt;width:0pt;z-index:25167564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shape id="_x0000_s1051" o:spid="_x0000_s1051" o:spt="32" type="#_x0000_t32" style="position:absolute;left:0pt;flip:y;margin-left:193.95pt;margin-top:7.25pt;height:12.75pt;width:0pt;z-index:2516848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Bookman Old Style" w:hAnsi="Bookman Old Style"/>
        </w:rPr>
        <w:pict>
          <v:shape id="_x0000_s1043" o:spid="_x0000_s1043" o:spt="32" type="#_x0000_t32" style="position:absolute;left:0pt;flip:y;margin-left:39.45pt;margin-top:6.5pt;height:0.75pt;width:343.5pt;z-index:25167667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shape id="_x0000_s1050" o:spid="_x0000_s1050" o:spt="32" type="#_x0000_t32" style="position:absolute;left:0pt;margin-left:382.95pt;margin-top:5.9pt;height:12.75pt;width:0pt;z-index:25168384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Bookman Old Style" w:hAnsi="Bookman Old Style"/>
        </w:rPr>
        <w:pict>
          <v:shape id="_x0000_s1049" o:spid="_x0000_s1049" o:spt="32" type="#_x0000_t32" style="position:absolute;left:0pt;margin-left:193.95pt;margin-top:5.9pt;height:12.75pt;width:0pt;z-index:25168281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Bookman Old Style" w:hAnsi="Bookman Old Style"/>
        </w:rPr>
        <w:pict>
          <v:shape id="_x0000_s1048" o:spid="_x0000_s1048" o:spt="32" type="#_x0000_t32" style="position:absolute;left:0pt;margin-left:43.2pt;margin-top:5.15pt;height:13.5pt;width:0pt;z-index:25168179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Bookman Old Style" w:hAnsi="Bookman Old Style"/>
        </w:rPr>
        <w:pict>
          <v:shape id="_x0000_s1047" o:spid="_x0000_s1047" o:spt="32" type="#_x0000_t32" style="position:absolute;left:0pt;flip:y;margin-left:43.2pt;margin-top:5.15pt;height:0.75pt;width:339.75pt;z-index:25168076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rect id="_x0000_s1034" o:spid="_x0000_s1034" o:spt="1" style="position:absolute;left:0pt;margin-left:-19.8pt;margin-top:4.55pt;height:162.75pt;width:144pt;z-index:251667456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numPr>
                      <w:ilvl w:val="0"/>
                      <w:numId w:val="6"/>
                    </w:numPr>
                    <w:ind w:left="450"/>
                    <w:jc w:val="both"/>
                  </w:pPr>
                  <w:r>
                    <w:rPr>
                      <w:rFonts w:ascii="Bookman Old Style" w:hAnsi="Bookman Old Style"/>
                      <w:sz w:val="22"/>
                      <w:szCs w:val="22"/>
                    </w:rPr>
                    <w:t>Mahasiswa dapat mendeskripsikan definisi hukum internasional, sifat dan wujud hukum internasional, hubungan hukum internasional dan hukum nasional, serta kekuatan dan kelemahan hukum internasional</w:t>
                  </w:r>
                </w:p>
              </w:txbxContent>
            </v:textbox>
          </v:rect>
        </w:pict>
      </w:r>
      <w:r>
        <w:rPr>
          <w:rFonts w:ascii="Bookman Old Style" w:hAnsi="Bookman Old Style"/>
        </w:rPr>
        <w:pict>
          <v:rect id="_x0000_s1032" o:spid="_x0000_s1032" o:spt="1" style="position:absolute;left:0pt;margin-left:132.45pt;margin-top:4.55pt;height:162.75pt;width:141pt;z-index:251665408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>
                  <w:r>
                    <w:rPr>
                      <w:rFonts w:ascii="Bookman Old Style" w:hAnsi="Bookman Old Style"/>
                      <w:sz w:val="22"/>
                      <w:szCs w:val="22"/>
                    </w:rPr>
                    <w:t>2. Mahasiswa dapat menjelaskan subjek dan sumber  hukum internasional dan mengapa komponen tersebut dijadikan sumber dan subjek hukum internasional</w:t>
                  </w:r>
                </w:p>
              </w:txbxContent>
            </v:textbox>
          </v:rect>
        </w:pict>
      </w:r>
      <w:r>
        <w:rPr>
          <w:rFonts w:ascii="Bookman Old Style" w:hAnsi="Bookman Old Style"/>
        </w:rPr>
        <w:pict>
          <v:rect id="_x0000_s1033" o:spid="_x0000_s1033" o:spt="1" style="position:absolute;left:0pt;margin-left:289.95pt;margin-top:4.55pt;height:162.75pt;width:158.25pt;z-index:251666432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tabs>
                      <w:tab w:val="left" w:pos="360"/>
                    </w:tabs>
                    <w:jc w:val="both"/>
                    <w:rPr>
                      <w:rFonts w:ascii="Bookman Old Style" w:hAnsi="Bookman Old Style"/>
                      <w:sz w:val="22"/>
                      <w:szCs w:val="22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</w:rPr>
                    <w:t>3. Mahasiswa dapat menjelaskan sejara awal hukum internasional dan fase-fase hukum internasional dari zaman kuno hingga zaman modern.</w:t>
                  </w:r>
                </w:p>
                <w:p/>
              </w:txbxContent>
            </v:textbox>
          </v:rect>
        </w:pict>
      </w: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</w:pPr>
    </w:p>
    <w:p>
      <w:pPr>
        <w:pStyle w:val="7"/>
        <w:tabs>
          <w:tab w:val="left" w:pos="8364"/>
        </w:tabs>
        <w:jc w:val="both"/>
        <w:rPr>
          <w:rFonts w:ascii="Bookman Old Style" w:hAnsi="Bookman Old Style"/>
        </w:rPr>
        <w:sectPr>
          <w:footerReference r:id="rId5" w:type="default"/>
          <w:pgSz w:w="11907" w:h="16840"/>
          <w:pgMar w:top="1701" w:right="1701" w:bottom="1701" w:left="1701" w:header="720" w:footer="720" w:gutter="0"/>
          <w:cols w:space="720" w:num="1"/>
          <w:titlePg/>
          <w:docGrid w:linePitch="326" w:charSpace="0"/>
        </w:sectPr>
      </w:pPr>
    </w:p>
    <w:p>
      <w:pPr>
        <w:pStyle w:val="4"/>
        <w:kinsoku w:val="0"/>
        <w:overflowPunct w:val="0"/>
        <w:spacing w:before="231"/>
        <w:ind w:right="113"/>
        <w:jc w:val="center"/>
        <w:rPr>
          <w:rFonts w:ascii="Bookman Old Style" w:hAnsi="Bookman Old Style"/>
          <w:b/>
          <w:bCs/>
          <w:szCs w:val="24"/>
          <w:lang w:val="id-ID"/>
        </w:rPr>
      </w:pPr>
      <w:r>
        <w:rPr>
          <w:rFonts w:ascii="Bookman Old Style" w:hAnsi="Bookman Old Style"/>
          <w:b/>
          <w:bCs/>
          <w:szCs w:val="24"/>
          <w:lang w:val="id-ID"/>
        </w:rPr>
        <w:t>RENCANA PEMBELAJARAN SEMESTER (RPS)</w:t>
      </w:r>
    </w:p>
    <w:p>
      <w:pPr>
        <w:pStyle w:val="4"/>
        <w:kinsoku w:val="0"/>
        <w:overflowPunct w:val="0"/>
        <w:spacing w:before="231"/>
        <w:ind w:right="113"/>
        <w:jc w:val="center"/>
        <w:rPr>
          <w:rFonts w:ascii="Bookman Old Style" w:hAnsi="Bookman Old Style"/>
          <w:b/>
          <w:bCs/>
          <w:szCs w:val="24"/>
          <w:lang w:val="id-ID"/>
        </w:rPr>
      </w:pPr>
      <w:bookmarkStart w:id="0" w:name="_GoBack"/>
      <w:bookmarkEnd w:id="0"/>
    </w:p>
    <w:p>
      <w:pPr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</w:rPr>
        <w:t>Pergguruan Tinggi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   </w:t>
      </w:r>
      <w:r>
        <w:rPr>
          <w:rFonts w:ascii="Bookman Old Style" w:hAnsi="Bookman Old Style"/>
        </w:rPr>
        <w:t xml:space="preserve">: </w:t>
      </w:r>
      <w:r>
        <w:rPr>
          <w:rFonts w:ascii="Bookman Old Style" w:hAnsi="Bookman Old Style"/>
          <w:lang w:val="id-ID"/>
        </w:rPr>
        <w:t>Universitas Mulawarman</w:t>
      </w:r>
    </w:p>
    <w:p>
      <w:pPr>
        <w:ind w:left="3119" w:hanging="3119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  <w:lang w:val="id-ID"/>
        </w:rPr>
        <w:t>Fakultas</w:t>
      </w:r>
      <w:r>
        <w:rPr>
          <w:rFonts w:ascii="Bookman Old Style" w:hAnsi="Bookman Old Style"/>
          <w:sz w:val="22"/>
          <w:szCs w:val="22"/>
          <w:lang w:val="id-ID"/>
        </w:rPr>
        <w:tab/>
      </w:r>
      <w:r>
        <w:rPr>
          <w:rFonts w:ascii="Bookman Old Style" w:hAnsi="Bookman Old Style"/>
          <w:sz w:val="22"/>
          <w:szCs w:val="22"/>
          <w:lang w:val="id-ID"/>
        </w:rPr>
        <w:t xml:space="preserve">: </w:t>
      </w:r>
      <w:r>
        <w:rPr>
          <w:rFonts w:ascii="Bookman Old Style" w:hAnsi="Bookman Old Style"/>
          <w:sz w:val="22"/>
          <w:szCs w:val="22"/>
        </w:rPr>
        <w:t>Ilmu Sosial dan Ilmu Politik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</w:rPr>
        <w:t>Jurusan/Program Studi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>:</w:t>
      </w:r>
      <w:r>
        <w:rPr>
          <w:rFonts w:ascii="Bookman Old Style" w:hAnsi="Bookman Old Style"/>
          <w:lang w:val="id-ID"/>
        </w:rPr>
        <w:t xml:space="preserve"> </w:t>
      </w:r>
      <w:r>
        <w:rPr>
          <w:rFonts w:ascii="Bookman Old Style" w:hAnsi="Bookman Old Style"/>
        </w:rPr>
        <w:t>Hubungan Internasional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Matakuliah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: </w:t>
      </w:r>
      <w:r>
        <w:rPr>
          <w:rFonts w:hint="default" w:ascii="Bookman Old Style" w:hAnsi="Bookman Old Style"/>
          <w:lang w:val="en-US"/>
        </w:rPr>
        <w:t xml:space="preserve">Politik </w:t>
      </w:r>
      <w:r>
        <w:rPr>
          <w:rFonts w:ascii="Bookman Old Style" w:hAnsi="Bookman Old Style"/>
        </w:rPr>
        <w:t>Hukum Internasional</w:t>
      </w:r>
    </w:p>
    <w:p>
      <w:pPr>
        <w:ind w:left="3119" w:hanging="3119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Kode Matakuliah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: </w:t>
      </w:r>
      <w:r>
        <w:rPr>
          <w:rFonts w:ascii="Bookman Old Style" w:hAnsi="Bookman Old Style"/>
          <w:bCs/>
        </w:rPr>
        <w:t>02045309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SKS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: </w:t>
      </w:r>
      <w:r>
        <w:rPr>
          <w:rFonts w:ascii="Bookman Old Style" w:hAnsi="Bookman Old Style"/>
        </w:rPr>
        <w:t>3 SKS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Dosen Pengampu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: </w:t>
      </w:r>
      <w:r>
        <w:rPr>
          <w:rFonts w:ascii="Bookman Old Style" w:hAnsi="Bookman Old Style"/>
        </w:rPr>
        <w:t>Etha Pasan S.IP., MA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</w:t>
      </w:r>
    </w:p>
    <w:p>
      <w:pPr>
        <w:ind w:left="3119" w:hanging="3119"/>
        <w:rPr>
          <w:rFonts w:ascii="Bookman Old Style" w:hAnsi="Bookman Old Style"/>
        </w:rPr>
      </w:pPr>
    </w:p>
    <w:p>
      <w:pPr>
        <w:ind w:left="3150" w:hanging="3150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Deskripsi Mata Kuliah</w:t>
      </w:r>
      <w:r>
        <w:rPr>
          <w:rFonts w:ascii="Bookman Old Style" w:hAnsi="Bookman Old Style"/>
          <w:sz w:val="22"/>
        </w:rPr>
        <w:tab/>
      </w:r>
      <w:r>
        <w:rPr>
          <w:rFonts w:ascii="Bookman Old Style" w:hAnsi="Bookman Old Style"/>
          <w:sz w:val="22"/>
        </w:rPr>
        <w:t>:</w:t>
      </w:r>
      <w:r>
        <w:rPr>
          <w:rFonts w:ascii="Bookman Old Style" w:hAnsi="Bookman Old Style"/>
          <w:sz w:val="22"/>
          <w:lang w:val="id-ID"/>
        </w:rPr>
        <w:t xml:space="preserve"> </w:t>
      </w:r>
      <w:r>
        <w:rPr>
          <w:rFonts w:ascii="Bookman Old Style" w:hAnsi="Bookman Old Style"/>
          <w:sz w:val="22"/>
        </w:rPr>
        <w:t>Ruang Lingkup Mata Kuliah ini meliputi definisi, sejarah perkembangan, perjanjian sebagai  sumber hukum, Negara sebagai  subjek dan beberapa subjek tambahan, perwakilan diplomatic,, pembuatan perjanjian internasional hingga tahapan penyelesaian sengketa</w:t>
      </w:r>
    </w:p>
    <w:p>
      <w:pPr>
        <w:ind w:left="3150" w:hanging="3150"/>
        <w:rPr>
          <w:rFonts w:ascii="Bookman Old Style" w:hAnsi="Bookman Old Style"/>
          <w:sz w:val="22"/>
        </w:rPr>
      </w:pPr>
    </w:p>
    <w:p>
      <w:pPr>
        <w:ind w:left="3150" w:hanging="3150"/>
        <w:jc w:val="both"/>
        <w:rPr>
          <w:rFonts w:hint="default" w:ascii="Bookman Old Style" w:hAnsi="Bookman Old Style"/>
          <w:sz w:val="22"/>
          <w:szCs w:val="16"/>
          <w:lang w:val="en-US"/>
        </w:rPr>
      </w:pPr>
      <w:r>
        <w:rPr>
          <w:rFonts w:ascii="Bookman Old Style" w:hAnsi="Bookman Old Style"/>
          <w:sz w:val="22"/>
        </w:rPr>
        <w:t>Capaian</w:t>
      </w:r>
      <w:r>
        <w:rPr>
          <w:rFonts w:ascii="Bookman Old Style" w:hAnsi="Bookman Old Style"/>
          <w:spacing w:val="-18"/>
          <w:sz w:val="22"/>
        </w:rPr>
        <w:t xml:space="preserve"> </w:t>
      </w:r>
      <w:r>
        <w:rPr>
          <w:rFonts w:ascii="Bookman Old Style" w:hAnsi="Bookman Old Style"/>
          <w:sz w:val="22"/>
        </w:rPr>
        <w:t xml:space="preserve">Pembelajaran MK </w:t>
      </w:r>
      <w:r>
        <w:rPr>
          <w:rFonts w:ascii="Bookman Old Style" w:hAnsi="Bookman Old Style"/>
          <w:sz w:val="22"/>
          <w:lang w:val="id-ID"/>
        </w:rPr>
        <w:t xml:space="preserve"> </w:t>
      </w:r>
      <w:r>
        <w:rPr>
          <w:rFonts w:ascii="Bookman Old Style" w:hAnsi="Bookman Old Style"/>
          <w:sz w:val="22"/>
        </w:rPr>
        <w:t xml:space="preserve">:  </w:t>
      </w:r>
      <w:r>
        <w:rPr>
          <w:rFonts w:ascii="Bookman Old Style" w:hAnsi="Bookman Old Style"/>
          <w:sz w:val="22"/>
          <w:szCs w:val="22"/>
        </w:rPr>
        <w:t>Mampu menganalisis kasus-kasus konflik/sengketa baik internal maupun internasional dalam kerangka Hukum Internasional</w:t>
      </w:r>
      <w:r>
        <w:rPr>
          <w:rFonts w:hint="default" w:ascii="Bookman Old Style" w:hAnsi="Bookman Old Style"/>
          <w:sz w:val="22"/>
          <w:szCs w:val="22"/>
          <w:lang w:val="en-US"/>
        </w:rPr>
        <w:t xml:space="preserve"> </w:t>
      </w:r>
    </w:p>
    <w:p>
      <w:pPr>
        <w:ind w:left="2835" w:hanging="2835"/>
        <w:rPr>
          <w:rFonts w:ascii="Bookman Old Style" w:hAnsi="Bookman Old Style"/>
          <w:sz w:val="28"/>
        </w:rPr>
      </w:pPr>
    </w:p>
    <w:p>
      <w:pPr>
        <w:pStyle w:val="4"/>
        <w:tabs>
          <w:tab w:val="left" w:pos="2977"/>
        </w:tabs>
        <w:kinsoku w:val="0"/>
        <w:overflowPunct w:val="0"/>
        <w:ind w:left="2835" w:hanging="2835"/>
        <w:jc w:val="left"/>
        <w:rPr>
          <w:rFonts w:ascii="Bookman Old Style" w:hAnsi="Bookman Old Style"/>
          <w:szCs w:val="24"/>
          <w:lang w:val="id-ID"/>
        </w:rPr>
      </w:pPr>
      <w:r>
        <w:rPr>
          <w:rFonts w:ascii="Bookman Old Style" w:hAnsi="Bookman Old Style"/>
          <w:spacing w:val="-1"/>
          <w:szCs w:val="24"/>
        </w:rPr>
        <w:t>Daftar</w:t>
      </w:r>
      <w:r>
        <w:rPr>
          <w:rFonts w:ascii="Bookman Old Style" w:hAnsi="Bookman Old Style"/>
          <w:spacing w:val="-12"/>
          <w:szCs w:val="24"/>
        </w:rPr>
        <w:t xml:space="preserve"> </w:t>
      </w:r>
      <w:r>
        <w:rPr>
          <w:rFonts w:ascii="Bookman Old Style" w:hAnsi="Bookman Old Style"/>
          <w:szCs w:val="24"/>
        </w:rPr>
        <w:t xml:space="preserve">Referensi </w:t>
      </w:r>
      <w:r>
        <w:rPr>
          <w:rFonts w:ascii="Bookman Old Style" w:hAnsi="Bookman Old Style"/>
          <w:szCs w:val="24"/>
        </w:rPr>
        <w:tab/>
      </w:r>
      <w:r>
        <w:rPr>
          <w:rFonts w:ascii="Bookman Old Style" w:hAnsi="Bookman Old Style"/>
          <w:szCs w:val="24"/>
          <w:lang w:val="id-ID"/>
        </w:rPr>
        <w:t>: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835" w:hanging="2835"/>
        <w:rPr>
          <w:rFonts w:ascii="Bookman Old Style" w:hAnsi="Bookman Old Style"/>
        </w:rPr>
      </w:pPr>
      <w:r>
        <w:rPr>
          <w:rFonts w:ascii="Bookman Old Style" w:hAnsi="Bookman Old Style"/>
        </w:rPr>
        <w:t>1.  Alma Manuputy dkk., Hukum Iternasional, Rech-ta, Depok. 2008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835" w:hanging="2835"/>
        <w:rPr>
          <w:rFonts w:ascii="Bookman Old Style" w:hAnsi="Bookman Old Style"/>
        </w:rPr>
      </w:pPr>
      <w:r>
        <w:rPr>
          <w:rFonts w:ascii="Bookman Old Style" w:hAnsi="Bookman Old Style"/>
        </w:rPr>
        <w:t>2.  DR. Boer Mauna, Hukum Internasional, Alumni, Bandung.2005</w:t>
      </w:r>
    </w:p>
    <w:p>
      <w:pPr>
        <w:pStyle w:val="4"/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3.  Dedi Supriyadi, M.Ag, Hukum Internasional, Pustaka Setia, Bandung. 2013</w:t>
      </w:r>
    </w:p>
    <w:p>
      <w:pPr>
        <w:pStyle w:val="4"/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4.  DR. FX. Adji Samekto, SH., M.H., Negara dalam Hukum Internasional. Citra Aditya Bakti. Bandung. 2009</w:t>
      </w:r>
    </w:p>
    <w:p>
      <w:pPr>
        <w:pStyle w:val="4"/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5. Huala Adolf, Ph.D, Hukum penyelesaian Sengketa Internasional, Sinar Grafika. Jakarta. 2004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6. JG. STARKE, Pengantar Hukum Internasional (jilid 1  2), Jakarta. Sinar Grafika. 2001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7.  Mirza S. Buana SH, Hukum Internasional, FH UNLAM Press. Banjarmasin. 2007</w:t>
      </w:r>
    </w:p>
    <w:p>
      <w:pPr>
        <w:pStyle w:val="4"/>
        <w:kinsoku w:val="0"/>
        <w:overflowPunct w:val="0"/>
        <w:spacing w:line="240" w:lineRule="auto"/>
        <w:ind w:left="360" w:hanging="360"/>
        <w:rPr>
          <w:rFonts w:ascii="Bookman Old Style" w:hAnsi="Bookman Old Style"/>
        </w:rPr>
      </w:pPr>
      <w:r>
        <w:rPr>
          <w:rFonts w:ascii="Bookman Old Style" w:hAnsi="Bookman Old Style"/>
        </w:rPr>
        <w:t>8. Prof. Sugeng Istanto, Hukum Internasional, Uni. Adma Jaya, Jogjakarta. 2010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835" w:hanging="2835"/>
        <w:rPr>
          <w:rFonts w:ascii="Bookman Old Style" w:hAnsi="Bookman Old Style"/>
        </w:rPr>
      </w:pPr>
      <w:r>
        <w:rPr>
          <w:rFonts w:ascii="Bookman Old Style" w:hAnsi="Bookman Old Style"/>
        </w:rPr>
        <w:t>9. Sefriani M.Hum, Hukum Internasional, Jakarta, Rajawali Press. 2011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70" w:hanging="270"/>
        <w:rPr>
          <w:rFonts w:ascii="Bookman Old Style" w:hAnsi="Bookman Old Style"/>
        </w:rPr>
      </w:pPr>
      <w:r>
        <w:rPr>
          <w:rFonts w:ascii="Bookman Old Style" w:hAnsi="Bookman Old Style"/>
        </w:rPr>
        <w:t>10.Setyo Widagdo, SH., M.Hum &amp; Hanif Nur., SH., M.Hum., Hukum Diplomatik dan Konsuler. Bayu Media. 2008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70" w:hanging="270"/>
        <w:rPr>
          <w:rFonts w:ascii="Bookman Old Style" w:hAnsi="Bookman Old Style"/>
        </w:rPr>
      </w:pPr>
      <w:r>
        <w:rPr>
          <w:rFonts w:ascii="Bookman Old Style" w:hAnsi="Bookman Old Style"/>
        </w:rPr>
        <w:t>11. Syahmin AK., SH.,M.H., Hukum DIplomatik. Rajawali Press. Jakarta. 2008</w:t>
      </w: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70" w:hanging="270"/>
        <w:rPr>
          <w:rFonts w:ascii="Bookman Old Style" w:hAnsi="Bookman Old Style"/>
        </w:rPr>
      </w:pPr>
    </w:p>
    <w:p>
      <w:pPr>
        <w:pStyle w:val="4"/>
        <w:tabs>
          <w:tab w:val="left" w:pos="2977"/>
        </w:tabs>
        <w:kinsoku w:val="0"/>
        <w:overflowPunct w:val="0"/>
        <w:spacing w:line="240" w:lineRule="auto"/>
        <w:ind w:left="270" w:hanging="270"/>
        <w:rPr>
          <w:rFonts w:ascii="Bookman Old Style" w:hAnsi="Bookman Old Style"/>
        </w:rPr>
      </w:pPr>
    </w:p>
    <w:p>
      <w:pPr>
        <w:pStyle w:val="4"/>
        <w:tabs>
          <w:tab w:val="left" w:pos="2977"/>
        </w:tabs>
        <w:kinsoku w:val="0"/>
        <w:overflowPunct w:val="0"/>
        <w:ind w:left="2835" w:hanging="2835"/>
        <w:jc w:val="left"/>
        <w:rPr>
          <w:rFonts w:ascii="Bookman Old Style" w:hAnsi="Bookman Old Style"/>
          <w:szCs w:val="24"/>
        </w:rPr>
      </w:pPr>
    </w:p>
    <w:tbl>
      <w:tblPr>
        <w:tblStyle w:val="8"/>
        <w:tblW w:w="14493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135"/>
        <w:gridCol w:w="2702"/>
        <w:gridCol w:w="1992"/>
        <w:gridCol w:w="1564"/>
        <w:gridCol w:w="1849"/>
        <w:gridCol w:w="142"/>
        <w:gridCol w:w="853"/>
        <w:gridCol w:w="1564"/>
        <w:gridCol w:w="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both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Pert.</w:t>
            </w:r>
          </w:p>
        </w:tc>
        <w:tc>
          <w:tcPr>
            <w:tcW w:w="2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Kemampuan khusus</w:t>
            </w:r>
          </w:p>
          <w:p>
            <w:pPr>
              <w:jc w:val="center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(Sub-CPMK)</w:t>
            </w:r>
          </w:p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Indikator</w:t>
            </w:r>
          </w:p>
        </w:tc>
        <w:tc>
          <w:tcPr>
            <w:tcW w:w="1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both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Materi Pokok</w:t>
            </w:r>
          </w:p>
          <w:p>
            <w:pPr>
              <w:jc w:val="both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(Bahan Kajian)</w:t>
            </w:r>
          </w:p>
        </w:tc>
        <w:tc>
          <w:tcPr>
            <w:tcW w:w="15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ind w:right="-96"/>
              <w:jc w:val="center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Metode Pembelajaran</w:t>
            </w:r>
          </w:p>
        </w:tc>
        <w:tc>
          <w:tcPr>
            <w:tcW w:w="19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Pengalaman Belajar</w:t>
            </w:r>
          </w:p>
        </w:tc>
        <w:tc>
          <w:tcPr>
            <w:tcW w:w="2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</w:tcPr>
          <w:p>
            <w:pPr>
              <w:jc w:val="center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Penilaian</w:t>
            </w:r>
          </w:p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</w:tcPr>
          <w:p>
            <w:pPr>
              <w:jc w:val="center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Ref.</w:t>
            </w:r>
          </w:p>
          <w:p>
            <w:pPr>
              <w:spacing w:line="360" w:lineRule="auto"/>
              <w:jc w:val="center"/>
              <w:rPr>
                <w:rFonts w:ascii="Cambria" w:hAnsi="Cambria"/>
                <w:lang w:val="zh-C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Cambria" w:hAnsi="Cambria" w:cs="Cambria"/>
                <w:b/>
                <w:lang w:val="zh-CN" w:eastAsia="zh-CN"/>
              </w:rPr>
            </w:pPr>
          </w:p>
        </w:tc>
        <w:tc>
          <w:tcPr>
            <w:tcW w:w="2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Cambria" w:hAnsi="Cambria" w:cs="Cambria"/>
                <w:b/>
                <w:lang w:val="zh-CN" w:eastAsia="zh-CN"/>
              </w:rPr>
            </w:pPr>
          </w:p>
        </w:tc>
        <w:tc>
          <w:tcPr>
            <w:tcW w:w="27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Cambria" w:hAnsi="Cambria" w:cs="Cambria"/>
                <w:b/>
                <w:lang w:val="zh-CN" w:eastAsia="zh-CN"/>
              </w:rPr>
            </w:pPr>
          </w:p>
        </w:tc>
        <w:tc>
          <w:tcPr>
            <w:tcW w:w="1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Cambria" w:hAnsi="Cambria" w:cs="Cambria"/>
                <w:b/>
                <w:lang w:val="zh-CN" w:eastAsia="zh-CN"/>
              </w:rPr>
            </w:pPr>
          </w:p>
        </w:tc>
        <w:tc>
          <w:tcPr>
            <w:tcW w:w="1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Cambria" w:hAnsi="Cambria" w:cs="Cambria"/>
                <w:b/>
                <w:lang w:val="zh-CN" w:eastAsia="zh-CN"/>
              </w:rPr>
            </w:pPr>
          </w:p>
        </w:tc>
        <w:tc>
          <w:tcPr>
            <w:tcW w:w="19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Cambria" w:hAnsi="Cambria" w:cs="Cambria"/>
                <w:b/>
                <w:lang w:val="zh-CN" w:eastAsia="zh-CN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both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Jenis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lang w:val="zh-CN" w:eastAsia="zh-CN"/>
              </w:rPr>
            </w:pPr>
            <w:r>
              <w:rPr>
                <w:rFonts w:ascii="Cambria" w:hAnsi="Cambria" w:cs="Cambria"/>
                <w:b/>
                <w:lang w:val="zh-CN" w:eastAsia="zh-CN"/>
              </w:rPr>
              <w:t>Kriteria</w:t>
            </w:r>
          </w:p>
        </w:tc>
        <w:tc>
          <w:tcPr>
            <w:tcW w:w="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1.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ind w:left="-97"/>
              <w:jc w:val="both"/>
              <w:rPr>
                <w:rFonts w:asciiTheme="majorHAnsi" w:hAnsiTheme="majorHAnsi"/>
                <w:lang w:val="zh-CN" w:eastAsia="zh-CN"/>
              </w:rPr>
            </w:pPr>
            <w:r>
              <w:rPr>
                <w:rFonts w:asciiTheme="majorHAnsi" w:hAnsiTheme="majorHAnsi"/>
                <w:lang w:val="zh-CN" w:eastAsia="zh-CN"/>
              </w:rPr>
              <w:t>Mahasiswa dapat mendeskripsikan definisi hukum internasional, sifat dan wujud hukum internasional, hubungan hukum internasional dan hukum nasional, serta kekuatan dan kelemahan hukum internasional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pStyle w:val="5"/>
              <w:numPr>
                <w:ilvl w:val="0"/>
                <w:numId w:val="7"/>
              </w:numPr>
              <w:spacing w:after="0"/>
              <w:ind w:left="378"/>
              <w:rPr>
                <w:rFonts w:cs="Arial" w:asciiTheme="majorHAnsi" w:hAnsiTheme="majorHAnsi"/>
                <w:lang w:val="en-US" w:eastAsia="en-US"/>
              </w:rPr>
            </w:pPr>
            <w:r>
              <w:rPr>
                <w:rFonts w:cs="Arial" w:asciiTheme="majorHAnsi" w:hAnsiTheme="majorHAnsi"/>
                <w:lang w:val="en-US" w:eastAsia="en-US"/>
              </w:rPr>
              <w:t xml:space="preserve"> Menjelaskan definisi HUKI menurut beberapa Pakar, bagaiamana sifat dan wujudnya.</w:t>
            </w:r>
          </w:p>
          <w:p>
            <w:pPr>
              <w:pStyle w:val="5"/>
              <w:numPr>
                <w:ilvl w:val="0"/>
                <w:numId w:val="7"/>
              </w:numPr>
              <w:spacing w:after="0"/>
              <w:ind w:left="378"/>
              <w:rPr>
                <w:rFonts w:cs="Arial" w:asciiTheme="majorHAnsi" w:hAnsiTheme="majorHAnsi"/>
                <w:lang w:val="en-US" w:eastAsia="en-US"/>
              </w:rPr>
            </w:pPr>
            <w:r>
              <w:rPr>
                <w:rFonts w:cs="Arial" w:asciiTheme="majorHAnsi" w:hAnsiTheme="majorHAnsi"/>
                <w:lang w:val="en-US" w:eastAsia="en-US"/>
              </w:rPr>
              <w:t>Menjelaskan keterhubungan HUKI dengan hukum nasional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pStyle w:val="15"/>
              <w:numPr>
                <w:ilvl w:val="1"/>
                <w:numId w:val="7"/>
              </w:numPr>
              <w:ind w:left="376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Definisi Huki</w:t>
            </w:r>
          </w:p>
          <w:p>
            <w:pPr>
              <w:pStyle w:val="15"/>
              <w:numPr>
                <w:ilvl w:val="1"/>
                <w:numId w:val="7"/>
              </w:numPr>
              <w:ind w:left="376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Sifat dan Wujud Huki</w:t>
            </w:r>
          </w:p>
          <w:p>
            <w:pPr>
              <w:pStyle w:val="15"/>
              <w:numPr>
                <w:ilvl w:val="1"/>
                <w:numId w:val="7"/>
              </w:numPr>
              <w:ind w:left="376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Hubungan Huki dan Hukum Nasional</w:t>
            </w:r>
          </w:p>
          <w:p>
            <w:pPr>
              <w:pStyle w:val="15"/>
              <w:numPr>
                <w:ilvl w:val="1"/>
                <w:numId w:val="7"/>
              </w:numPr>
              <w:ind w:left="376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Kekuatan dan Kelemahan Huki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Tanya Jawab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Ceramah interaktif</w:t>
            </w:r>
          </w:p>
        </w:tc>
        <w:tc>
          <w:tcPr>
            <w:tcW w:w="1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pStyle w:val="5"/>
              <w:numPr>
                <w:ilvl w:val="0"/>
                <w:numId w:val="8"/>
              </w:numPr>
              <w:tabs>
                <w:tab w:val="left" w:pos="1770"/>
              </w:tabs>
              <w:spacing w:after="0"/>
              <w:ind w:left="330" w:right="-137" w:hanging="33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Menyimak penjelasan dosen </w:t>
            </w:r>
          </w:p>
          <w:p>
            <w:pPr>
              <w:pStyle w:val="5"/>
              <w:numPr>
                <w:ilvl w:val="0"/>
                <w:numId w:val="8"/>
              </w:numPr>
              <w:tabs>
                <w:tab w:val="left" w:pos="1770"/>
              </w:tabs>
              <w:spacing w:after="0"/>
              <w:ind w:left="330" w:right="-137" w:hanging="33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Mahasiswa menjelaskan pemahaman singkat tentang Hukum</w:t>
            </w:r>
          </w:p>
          <w:p>
            <w:pPr>
              <w:pStyle w:val="5"/>
              <w:tabs>
                <w:tab w:val="left" w:pos="1770"/>
              </w:tabs>
              <w:spacing w:after="0"/>
              <w:ind w:left="330" w:right="-137"/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Tes non tulis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tabs>
                <w:tab w:val="left" w:pos="1446"/>
              </w:tabs>
              <w:ind w:right="-98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Ketepatan menguraikan definisi,dan keterhubungan Huki dan Hukum  Nasional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Buku 2,8 dan 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2-3.</w:t>
            </w:r>
          </w:p>
        </w:tc>
        <w:tc>
          <w:tcPr>
            <w:tcW w:w="2135" w:type="dxa"/>
          </w:tcPr>
          <w:p>
            <w:pPr>
              <w:jc w:val="both"/>
              <w:rPr>
                <w:rFonts w:asciiTheme="majorHAnsi" w:hAnsiTheme="majorHAnsi"/>
                <w:lang w:val="zh-CN" w:eastAsia="zh-CN"/>
              </w:rPr>
            </w:pPr>
            <w:r>
              <w:rPr>
                <w:rFonts w:asciiTheme="majorHAnsi" w:hAnsiTheme="majorHAnsi"/>
                <w:lang w:val="zh-CN" w:eastAsia="zh-CN"/>
              </w:rPr>
              <w:t xml:space="preserve">Mahasiswa dapat menjelaskan subjek dan sumber  hukum internasional dan mengapa komponen tersebut dijadikan sumber dan subjek hukum internasional </w:t>
            </w:r>
          </w:p>
        </w:tc>
        <w:tc>
          <w:tcPr>
            <w:tcW w:w="2702" w:type="dxa"/>
          </w:tcPr>
          <w:p>
            <w:pPr>
              <w:numPr>
                <w:ilvl w:val="0"/>
                <w:numId w:val="9"/>
              </w:numPr>
              <w:ind w:left="295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Menjelaskan tentang Definisi sumber dan sukjek Huki</w:t>
            </w:r>
          </w:p>
          <w:p>
            <w:pPr>
              <w:numPr>
                <w:ilvl w:val="0"/>
                <w:numId w:val="9"/>
              </w:numPr>
              <w:ind w:left="295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Menjelaskan Sumber –sumber Hukum</w:t>
            </w:r>
          </w:p>
          <w:p>
            <w:pPr>
              <w:numPr>
                <w:ilvl w:val="0"/>
                <w:numId w:val="9"/>
              </w:numPr>
              <w:ind w:left="295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Menjelaskan subjek Huki</w:t>
            </w:r>
          </w:p>
          <w:p>
            <w:pPr>
              <w:numPr>
                <w:ilvl w:val="0"/>
                <w:numId w:val="9"/>
              </w:numPr>
              <w:ind w:left="295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Menguraikan mengapa komponen tersebut dijadikan sumber dan subjek Hukum Huki.</w:t>
            </w:r>
          </w:p>
        </w:tc>
        <w:tc>
          <w:tcPr>
            <w:tcW w:w="1992" w:type="dxa"/>
          </w:tcPr>
          <w:p>
            <w:pPr>
              <w:pStyle w:val="15"/>
              <w:numPr>
                <w:ilvl w:val="0"/>
                <w:numId w:val="10"/>
              </w:numPr>
              <w:ind w:left="37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Sumber Huki :</w:t>
            </w:r>
          </w:p>
          <w:p>
            <w:pPr>
              <w:pStyle w:val="15"/>
              <w:ind w:left="37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a.1. Perjanjian</w:t>
            </w:r>
          </w:p>
          <w:p>
            <w:pPr>
              <w:pStyle w:val="15"/>
              <w:ind w:left="37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a.2. Kebiasaan</w:t>
            </w:r>
          </w:p>
          <w:p>
            <w:pPr>
              <w:pStyle w:val="15"/>
              <w:ind w:left="37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a.3. Prinsip-prinsip umum hukum</w:t>
            </w:r>
          </w:p>
          <w:p>
            <w:pPr>
              <w:pStyle w:val="15"/>
              <w:ind w:left="37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a.4.Putusan peradilan dan pemikiran para ahli</w:t>
            </w:r>
          </w:p>
          <w:p>
            <w:pPr>
              <w:pStyle w:val="15"/>
              <w:numPr>
                <w:ilvl w:val="0"/>
                <w:numId w:val="10"/>
              </w:numPr>
              <w:ind w:left="37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Subjek Huki :</w:t>
            </w:r>
          </w:p>
          <w:p>
            <w:pPr>
              <w:pStyle w:val="15"/>
              <w:ind w:left="19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a.1. Negara</w:t>
            </w:r>
          </w:p>
          <w:p>
            <w:pPr>
              <w:pStyle w:val="15"/>
              <w:ind w:left="19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a.2. Tahta Suci</w:t>
            </w:r>
          </w:p>
          <w:p>
            <w:pPr>
              <w:pStyle w:val="15"/>
              <w:ind w:left="19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a.3. PMI</w:t>
            </w:r>
          </w:p>
          <w:p>
            <w:pPr>
              <w:pStyle w:val="15"/>
              <w:ind w:left="19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a.4. OI</w:t>
            </w:r>
          </w:p>
          <w:p>
            <w:pPr>
              <w:pStyle w:val="15"/>
              <w:ind w:left="19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a.5. Individu</w:t>
            </w:r>
          </w:p>
          <w:p>
            <w:pPr>
              <w:pStyle w:val="15"/>
              <w:ind w:left="196" w:right="-40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a.6.Pemberontak</w:t>
            </w:r>
          </w:p>
          <w:p>
            <w:pPr>
              <w:pStyle w:val="15"/>
              <w:ind w:left="19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a.7. PMN</w:t>
            </w:r>
          </w:p>
          <w:p>
            <w:pPr>
              <w:pStyle w:val="15"/>
              <w:ind w:left="0"/>
              <w:jc w:val="both"/>
              <w:rPr>
                <w:rFonts w:ascii="Cambria" w:hAnsi="Cambria" w:cs="Calibri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Ceramah, 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Tanya jawab Interaktif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849" w:type="dxa"/>
          </w:tcPr>
          <w:p>
            <w:pPr>
              <w:pStyle w:val="5"/>
              <w:numPr>
                <w:ilvl w:val="0"/>
                <w:numId w:val="11"/>
              </w:numPr>
              <w:spacing w:after="0"/>
              <w:ind w:left="240" w:right="43" w:hanging="240"/>
              <w:jc w:val="both"/>
              <w:rPr>
                <w:rFonts w:cs="Arial" w:asciiTheme="majorHAnsi" w:hAnsiTheme="majorHAnsi"/>
                <w:lang w:val="en-US" w:eastAsia="en-US"/>
              </w:rPr>
            </w:pPr>
            <w:r>
              <w:rPr>
                <w:rFonts w:cs="Arial" w:asciiTheme="majorHAnsi" w:hAnsiTheme="majorHAnsi"/>
                <w:lang w:val="en-US" w:eastAsia="en-US"/>
              </w:rPr>
              <w:t>Mengajukan pertanyaan terkait pemahaman singkat mahasiswa atas konsep sumber dan subjek HUKI secara acak</w:t>
            </w:r>
          </w:p>
          <w:p>
            <w:pPr>
              <w:pStyle w:val="5"/>
              <w:numPr>
                <w:ilvl w:val="0"/>
                <w:numId w:val="11"/>
              </w:numPr>
              <w:spacing w:after="0"/>
              <w:ind w:left="240" w:right="-47" w:hanging="240"/>
              <w:jc w:val="both"/>
              <w:rPr>
                <w:rFonts w:cs="Arial" w:asciiTheme="majorHAnsi" w:hAnsiTheme="majorHAnsi"/>
                <w:lang w:val="en-US" w:eastAsia="en-US"/>
              </w:rPr>
            </w:pPr>
            <w:r>
              <w:rPr>
                <w:rFonts w:cs="Arial" w:asciiTheme="majorHAnsi" w:hAnsiTheme="majorHAnsi"/>
                <w:lang w:val="en-US" w:eastAsia="en-US"/>
              </w:rPr>
              <w:t>Menyimpulkan jawaban dari beberapa mahasiswa terkait konsep sumber dan subjek Huki</w:t>
            </w:r>
          </w:p>
          <w:p>
            <w:pPr>
              <w:pStyle w:val="5"/>
              <w:spacing w:after="0"/>
              <w:ind w:left="0" w:right="43"/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995" w:type="dxa"/>
            <w:gridSpan w:val="2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Tes non tulis</w:t>
            </w:r>
          </w:p>
        </w:tc>
        <w:tc>
          <w:tcPr>
            <w:tcW w:w="1564" w:type="dxa"/>
          </w:tcPr>
          <w:p>
            <w:pPr>
              <w:autoSpaceDE w:val="0"/>
              <w:autoSpaceDN w:val="0"/>
              <w:jc w:val="both"/>
              <w:rPr>
                <w:rFonts w:ascii="Cambria" w:hAnsi="Cambria"/>
                <w:bCs/>
                <w:lang w:val="zh-CN" w:eastAsia="id-ID"/>
              </w:rPr>
            </w:pPr>
            <w:r>
              <w:rPr>
                <w:rFonts w:ascii="Cambria" w:hAnsi="Cambria"/>
                <w:bCs/>
                <w:lang w:val="zh-CN" w:eastAsia="id-ID"/>
              </w:rPr>
              <w:t xml:space="preserve">Ketepatan menjelas-kan </w:t>
            </w:r>
          </w:p>
          <w:p>
            <w:pPr>
              <w:autoSpaceDE w:val="0"/>
              <w:autoSpaceDN w:val="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bCs/>
                <w:lang w:val="zh-CN" w:eastAsia="id-ID"/>
              </w:rPr>
              <w:t>Sumber dan subjek hukum serta alasan komponen tersebut dijadikan sumber dan subjek</w:t>
            </w:r>
          </w:p>
        </w:tc>
        <w:tc>
          <w:tcPr>
            <w:tcW w:w="980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Buku: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1, 2, 3 dan 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4.</w:t>
            </w:r>
          </w:p>
        </w:tc>
        <w:tc>
          <w:tcPr>
            <w:tcW w:w="2135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Mahasiswa dapat menjelaskan sejarah awal Hukum Internasional dan fase-fase hukum internasional dari zaman kuno hingga zaman modern</w:t>
            </w:r>
          </w:p>
        </w:tc>
        <w:tc>
          <w:tcPr>
            <w:tcW w:w="2702" w:type="dxa"/>
          </w:tcPr>
          <w:p>
            <w:pPr>
              <w:numPr>
                <w:ilvl w:val="0"/>
                <w:numId w:val="12"/>
              </w:numPr>
              <w:ind w:left="342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Menjelaskan Sejarah Huki di zaman Kuno hingga zaman Modern</w:t>
            </w:r>
          </w:p>
          <w:p>
            <w:pPr>
              <w:numPr>
                <w:ilvl w:val="0"/>
                <w:numId w:val="12"/>
              </w:numPr>
              <w:ind w:left="342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Menjelaskan kontribusi tiap zaman terhadap Huki</w:t>
            </w:r>
          </w:p>
          <w:p>
            <w:pPr>
              <w:ind w:left="342"/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992" w:type="dxa"/>
          </w:tcPr>
          <w:p>
            <w:pPr>
              <w:pStyle w:val="15"/>
              <w:ind w:left="0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Sejarah Huki :</w:t>
            </w:r>
          </w:p>
          <w:p>
            <w:pPr>
              <w:pStyle w:val="15"/>
              <w:numPr>
                <w:ilvl w:val="0"/>
                <w:numId w:val="13"/>
              </w:numPr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Zaman Kuno</w:t>
            </w:r>
          </w:p>
          <w:p>
            <w:pPr>
              <w:pStyle w:val="15"/>
              <w:numPr>
                <w:ilvl w:val="0"/>
                <w:numId w:val="13"/>
              </w:numPr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Zaman Pertengahan</w:t>
            </w:r>
          </w:p>
          <w:p>
            <w:pPr>
              <w:pStyle w:val="15"/>
              <w:numPr>
                <w:ilvl w:val="0"/>
                <w:numId w:val="13"/>
              </w:numPr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Zaman Modern</w:t>
            </w:r>
          </w:p>
          <w:p>
            <w:pPr>
              <w:pStyle w:val="15"/>
              <w:ind w:left="0"/>
              <w:jc w:val="both"/>
              <w:rPr>
                <w:rFonts w:ascii="Cambria" w:hAnsi="Cambria"/>
                <w:lang w:val="zh-CN" w:eastAsia="zh-CN"/>
              </w:rPr>
            </w:pP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Ceramah, 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Tanya jawab, 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849" w:type="dxa"/>
          </w:tcPr>
          <w:p>
            <w:pPr>
              <w:pStyle w:val="15"/>
              <w:numPr>
                <w:ilvl w:val="0"/>
                <w:numId w:val="14"/>
              </w:numPr>
              <w:ind w:left="240" w:hanging="24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Dosen menjelaskan fase sejarah Huki</w:t>
            </w:r>
          </w:p>
          <w:p>
            <w:pPr>
              <w:pStyle w:val="15"/>
              <w:numPr>
                <w:ilvl w:val="0"/>
                <w:numId w:val="14"/>
              </w:numPr>
              <w:ind w:left="240" w:hanging="24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Mendiskusikan fase-fase yang berkontribusi pada perkebangan Huki</w:t>
            </w:r>
          </w:p>
        </w:tc>
        <w:tc>
          <w:tcPr>
            <w:tcW w:w="995" w:type="dxa"/>
            <w:gridSpan w:val="2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Tes non tulis</w:t>
            </w:r>
          </w:p>
        </w:tc>
        <w:tc>
          <w:tcPr>
            <w:tcW w:w="1564" w:type="dxa"/>
          </w:tcPr>
          <w:p>
            <w:pPr>
              <w:autoSpaceDE w:val="0"/>
              <w:autoSpaceDN w:val="0"/>
              <w:jc w:val="both"/>
              <w:rPr>
                <w:rFonts w:ascii="Cambria" w:hAnsi="Cambria"/>
                <w:bCs/>
                <w:lang w:val="zh-CN" w:eastAsia="id-ID"/>
              </w:rPr>
            </w:pPr>
            <w:r>
              <w:rPr>
                <w:rFonts w:ascii="Cambria" w:hAnsi="Cambria"/>
                <w:bCs/>
                <w:lang w:val="zh-CN" w:eastAsia="id-ID"/>
              </w:rPr>
              <w:t>Ketepatan dalam menjelaskan fase sejarah Huki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980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Buku : 1,2 dan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5-6</w:t>
            </w:r>
          </w:p>
        </w:tc>
        <w:tc>
          <w:tcPr>
            <w:tcW w:w="2135" w:type="dxa"/>
          </w:tcPr>
          <w:p>
            <w:pPr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Mahasiswa  dapat membedakan tugas dan fungsi perwwakilan diplomatik</w:t>
            </w:r>
          </w:p>
        </w:tc>
        <w:tc>
          <w:tcPr>
            <w:tcW w:w="2702" w:type="dxa"/>
          </w:tcPr>
          <w:p>
            <w:pPr>
              <w:numPr>
                <w:ilvl w:val="0"/>
                <w:numId w:val="15"/>
              </w:numPr>
              <w:ind w:left="346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Menjelaskan sejarah perkembangan Huki</w:t>
            </w:r>
          </w:p>
          <w:p>
            <w:pPr>
              <w:numPr>
                <w:ilvl w:val="0"/>
                <w:numId w:val="15"/>
              </w:numPr>
              <w:ind w:left="346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Menjelaskan Definisi Hukum Diplomatik dan sumber hukumnya</w:t>
            </w:r>
          </w:p>
          <w:p>
            <w:pPr>
              <w:numPr>
                <w:ilvl w:val="0"/>
                <w:numId w:val="15"/>
              </w:numPr>
              <w:ind w:left="346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Menjelaskan prosedur pengangkatan pejabat diplomatik</w:t>
            </w:r>
          </w:p>
          <w:p>
            <w:pPr>
              <w:numPr>
                <w:ilvl w:val="0"/>
                <w:numId w:val="15"/>
              </w:numPr>
              <w:ind w:left="346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Menjelaskan klasifikasi pejabat diplomatic beserta tugas dan fungsinya</w:t>
            </w:r>
          </w:p>
          <w:p>
            <w:pPr>
              <w:numPr>
                <w:ilvl w:val="0"/>
                <w:numId w:val="15"/>
              </w:numPr>
              <w:ind w:left="346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Menjelaskan keistimewaan yang melekat pada pejabat diplomatik</w:t>
            </w:r>
          </w:p>
          <w:p>
            <w:pPr>
              <w:ind w:left="76"/>
              <w:jc w:val="both"/>
              <w:rPr>
                <w:rFonts w:ascii="Cambria" w:hAnsi="Cambria"/>
                <w:lang w:val="zh-CN" w:eastAsia="zh-CN"/>
              </w:rPr>
            </w:pP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992" w:type="dxa"/>
          </w:tcPr>
          <w:p>
            <w:pPr>
              <w:pStyle w:val="15"/>
              <w:numPr>
                <w:ilvl w:val="0"/>
                <w:numId w:val="16"/>
              </w:numPr>
              <w:ind w:left="376" w:right="-130" w:hanging="360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Sejarah Perkembangan Hukum diplomatik</w:t>
            </w:r>
          </w:p>
          <w:p>
            <w:pPr>
              <w:pStyle w:val="15"/>
              <w:numPr>
                <w:ilvl w:val="0"/>
                <w:numId w:val="16"/>
              </w:numPr>
              <w:ind w:left="376" w:hanging="37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 xml:space="preserve">Definisi Hukum Diplomatik </w:t>
            </w:r>
          </w:p>
          <w:p>
            <w:pPr>
              <w:pStyle w:val="15"/>
              <w:numPr>
                <w:ilvl w:val="0"/>
                <w:numId w:val="16"/>
              </w:numPr>
              <w:ind w:left="376" w:hanging="376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Sumber Hukum</w:t>
            </w:r>
          </w:p>
          <w:p>
            <w:pPr>
              <w:pStyle w:val="15"/>
              <w:numPr>
                <w:ilvl w:val="0"/>
                <w:numId w:val="16"/>
              </w:numPr>
              <w:ind w:left="376" w:hanging="376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Peng</w:t>
            </w:r>
            <w:r>
              <w:rPr>
                <w:rFonts w:ascii="Cambria" w:hAnsi="Cambria"/>
                <w:lang w:val="zh-CN" w:eastAsia="zh-CN"/>
              </w:rPr>
              <w:t>angkatan pejabat diplomatik</w:t>
            </w:r>
          </w:p>
          <w:p>
            <w:pPr>
              <w:pStyle w:val="15"/>
              <w:numPr>
                <w:ilvl w:val="0"/>
                <w:numId w:val="16"/>
              </w:numPr>
              <w:ind w:left="376" w:hanging="376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Klasififkasi Pejabat diplomatik</w:t>
            </w:r>
          </w:p>
          <w:p>
            <w:pPr>
              <w:pStyle w:val="15"/>
              <w:numPr>
                <w:ilvl w:val="0"/>
                <w:numId w:val="16"/>
              </w:numPr>
              <w:ind w:left="376" w:hanging="376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Tugas dan fungsi pejabat diplomatic</w:t>
            </w:r>
          </w:p>
          <w:p>
            <w:pPr>
              <w:pStyle w:val="15"/>
              <w:numPr>
                <w:ilvl w:val="0"/>
                <w:numId w:val="16"/>
              </w:numPr>
              <w:ind w:left="376" w:hanging="376"/>
              <w:jc w:val="both"/>
              <w:rPr>
                <w:rFonts w:ascii="Cambria" w:hAnsi="Cambria"/>
                <w:b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Keistimewaan pejabat diplomatik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pStyle w:val="15"/>
              <w:numPr>
                <w:ilvl w:val="0"/>
                <w:numId w:val="17"/>
              </w:numPr>
              <w:ind w:left="274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Ceramah </w:t>
            </w:r>
          </w:p>
          <w:p>
            <w:pPr>
              <w:pStyle w:val="15"/>
              <w:numPr>
                <w:ilvl w:val="0"/>
                <w:numId w:val="17"/>
              </w:numPr>
              <w:ind w:left="274" w:right="-96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Membentuk kelompok diskusi</w:t>
            </w:r>
          </w:p>
        </w:tc>
        <w:tc>
          <w:tcPr>
            <w:tcW w:w="1849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Mahasiswa mendiskusikan dalam kelompok masing-masing  tentang kasus-kasus pejabat diplomatic baik pelanggaran prosedur pengangkatan maupun persona non grata</w:t>
            </w:r>
          </w:p>
        </w:tc>
        <w:tc>
          <w:tcPr>
            <w:tcW w:w="995" w:type="dxa"/>
            <w:gridSpan w:val="2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Tes non Tulis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autoSpaceDE w:val="0"/>
              <w:autoSpaceDN w:val="0"/>
              <w:jc w:val="both"/>
              <w:rPr>
                <w:rFonts w:ascii="Cambria" w:hAnsi="Cambria"/>
                <w:bCs/>
                <w:lang w:val="zh-CN" w:eastAsia="id-ID"/>
              </w:rPr>
            </w:pPr>
            <w:r>
              <w:rPr>
                <w:rFonts w:ascii="Cambria" w:hAnsi="Cambria"/>
                <w:bCs/>
                <w:lang w:val="zh-CN" w:eastAsia="id-ID"/>
              </w:rPr>
              <w:t>Ketepatan dalam menjelaskan prosedur pengangkatan pejabat diplomatic serta keistimewaan yang melekat.</w:t>
            </w:r>
          </w:p>
        </w:tc>
        <w:tc>
          <w:tcPr>
            <w:tcW w:w="980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Buku :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2,10 dan 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7</w:t>
            </w:r>
          </w:p>
        </w:tc>
        <w:tc>
          <w:tcPr>
            <w:tcW w:w="2135" w:type="dxa"/>
          </w:tcPr>
          <w:p>
            <w:pPr>
              <w:pStyle w:val="15"/>
              <w:ind w:left="0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Mid Test</w:t>
            </w:r>
          </w:p>
        </w:tc>
        <w:tc>
          <w:tcPr>
            <w:tcW w:w="2702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992" w:type="dxa"/>
          </w:tcPr>
          <w:p>
            <w:pPr>
              <w:ind w:left="346" w:hanging="346"/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849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995" w:type="dxa"/>
            <w:gridSpan w:val="2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980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8</w:t>
            </w:r>
          </w:p>
        </w:tc>
        <w:tc>
          <w:tcPr>
            <w:tcW w:w="2135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Mahasiswa dapat membedakan berbagai macam kedaulatan,  yurisdiksi, dan cara memperoleh kedaulatan</w:t>
            </w:r>
          </w:p>
        </w:tc>
        <w:tc>
          <w:tcPr>
            <w:tcW w:w="2702" w:type="dxa"/>
          </w:tcPr>
          <w:p>
            <w:pPr>
              <w:pStyle w:val="15"/>
              <w:numPr>
                <w:ilvl w:val="0"/>
                <w:numId w:val="18"/>
              </w:numPr>
              <w:ind w:left="468" w:right="-52" w:hanging="45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Menjelaskan definisi kedaulatan dan yurisdiksi</w:t>
            </w:r>
          </w:p>
          <w:p>
            <w:pPr>
              <w:pStyle w:val="15"/>
              <w:numPr>
                <w:ilvl w:val="0"/>
                <w:numId w:val="18"/>
              </w:numPr>
              <w:ind w:left="468" w:right="-52" w:hanging="45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Menguraikan varian kedaulatan dan yurisdiksi</w:t>
            </w:r>
          </w:p>
          <w:p>
            <w:pPr>
              <w:pStyle w:val="15"/>
              <w:numPr>
                <w:ilvl w:val="0"/>
                <w:numId w:val="18"/>
              </w:numPr>
              <w:ind w:left="468" w:right="-52" w:hanging="45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Menjelakan cara memperoleh kedaulatan</w:t>
            </w:r>
          </w:p>
          <w:p>
            <w:pPr>
              <w:pStyle w:val="15"/>
              <w:numPr>
                <w:ilvl w:val="0"/>
                <w:numId w:val="18"/>
              </w:numPr>
              <w:ind w:left="468" w:right="-52" w:hanging="45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Menguraikan imunitas atas yurisdiksi</w:t>
            </w:r>
          </w:p>
        </w:tc>
        <w:tc>
          <w:tcPr>
            <w:tcW w:w="1992" w:type="dxa"/>
          </w:tcPr>
          <w:p>
            <w:pPr>
              <w:pStyle w:val="15"/>
              <w:numPr>
                <w:ilvl w:val="0"/>
                <w:numId w:val="19"/>
              </w:numPr>
              <w:ind w:left="376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 Definisi Kedaulatan dan Yurisdiksi</w:t>
            </w:r>
          </w:p>
          <w:p>
            <w:pPr>
              <w:pStyle w:val="15"/>
              <w:numPr>
                <w:ilvl w:val="0"/>
                <w:numId w:val="19"/>
              </w:numPr>
              <w:ind w:left="376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Varian kedaulatan dan yurisdiksi</w:t>
            </w:r>
          </w:p>
          <w:p>
            <w:pPr>
              <w:pStyle w:val="15"/>
              <w:numPr>
                <w:ilvl w:val="0"/>
                <w:numId w:val="19"/>
              </w:numPr>
              <w:ind w:left="376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Cara memperoleh kedaulatan</w:t>
            </w:r>
          </w:p>
          <w:p>
            <w:pPr>
              <w:pStyle w:val="15"/>
              <w:numPr>
                <w:ilvl w:val="0"/>
                <w:numId w:val="19"/>
              </w:numPr>
              <w:ind w:left="376" w:hanging="27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Imunitas atas yurisdiksi</w:t>
            </w: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Ceramah dan diskusi</w:t>
            </w:r>
          </w:p>
        </w:tc>
        <w:tc>
          <w:tcPr>
            <w:tcW w:w="1849" w:type="dxa"/>
          </w:tcPr>
          <w:p>
            <w:pPr>
              <w:pStyle w:val="15"/>
              <w:numPr>
                <w:ilvl w:val="0"/>
                <w:numId w:val="20"/>
              </w:numPr>
              <w:ind w:left="330" w:hanging="33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Mahasiswa  menuraikan pemahaman singkat tentang konsep kedaulatan dan yurisdiksi</w:t>
            </w:r>
          </w:p>
          <w:p>
            <w:pPr>
              <w:pStyle w:val="15"/>
              <w:numPr>
                <w:ilvl w:val="0"/>
                <w:numId w:val="20"/>
              </w:numPr>
              <w:ind w:left="330" w:hanging="33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Dowsen menguraikan mekanisme memperoleh kedaulatan dan imunitas yurisdiksi</w:t>
            </w:r>
          </w:p>
        </w:tc>
        <w:tc>
          <w:tcPr>
            <w:tcW w:w="995" w:type="dxa"/>
            <w:gridSpan w:val="2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Tes non Tulis</w:t>
            </w:r>
          </w:p>
        </w:tc>
        <w:tc>
          <w:tcPr>
            <w:tcW w:w="1564" w:type="dxa"/>
          </w:tcPr>
          <w:p>
            <w:pPr>
              <w:ind w:right="-98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Ketepatan dalam membedakan dan menguraikan  definisi, varian dan imunitas terkait kedaulatan dan yurisdiksi. </w:t>
            </w:r>
          </w:p>
        </w:tc>
        <w:tc>
          <w:tcPr>
            <w:tcW w:w="980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Buku : 2,3,4 dan 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9</w:t>
            </w:r>
          </w:p>
        </w:tc>
        <w:tc>
          <w:tcPr>
            <w:tcW w:w="2135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color w:val="000000"/>
                <w:lang w:val="zh-CN" w:eastAsia="zh-CN"/>
              </w:rPr>
              <w:t>Mahasiswa dapat mengidentifikasi proses terbentuknya Negara dan komponen penyusun berdirinya sebuah Negara.</w:t>
            </w:r>
          </w:p>
        </w:tc>
        <w:tc>
          <w:tcPr>
            <w:tcW w:w="2702" w:type="dxa"/>
          </w:tcPr>
          <w:p>
            <w:pPr>
              <w:pStyle w:val="15"/>
              <w:numPr>
                <w:ilvl w:val="0"/>
                <w:numId w:val="21"/>
              </w:numPr>
              <w:ind w:left="436" w:right="155"/>
              <w:contextualSpacing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Memahami proses terbentuknya negara</w:t>
            </w:r>
          </w:p>
          <w:p>
            <w:pPr>
              <w:pStyle w:val="15"/>
              <w:numPr>
                <w:ilvl w:val="0"/>
                <w:numId w:val="21"/>
              </w:numPr>
              <w:ind w:left="436" w:right="155"/>
              <w:contextualSpacing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Memahami Teori pengakuan negara</w:t>
            </w:r>
          </w:p>
          <w:p>
            <w:pPr>
              <w:pStyle w:val="15"/>
              <w:numPr>
                <w:ilvl w:val="0"/>
                <w:numId w:val="21"/>
              </w:numPr>
              <w:ind w:left="436" w:right="155"/>
              <w:contextualSpacing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Menyebutkan komponen negara</w:t>
            </w:r>
          </w:p>
          <w:p>
            <w:pPr>
              <w:pStyle w:val="15"/>
              <w:numPr>
                <w:ilvl w:val="0"/>
                <w:numId w:val="21"/>
              </w:numPr>
              <w:ind w:left="436" w:right="155"/>
              <w:contextualSpacing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Menjelaskan hak dan kewajiban negara </w:t>
            </w:r>
          </w:p>
          <w:p>
            <w:pPr>
              <w:ind w:right="155"/>
              <w:contextualSpacing/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992" w:type="dxa"/>
          </w:tcPr>
          <w:p>
            <w:pPr>
              <w:pStyle w:val="15"/>
              <w:numPr>
                <w:ilvl w:val="0"/>
                <w:numId w:val="22"/>
              </w:numPr>
              <w:ind w:left="376"/>
              <w:rPr>
                <w:rFonts w:ascii="Cambria" w:hAnsi="Cambria"/>
                <w:lang w:val="en-US" w:eastAsia="en-US"/>
              </w:rPr>
            </w:pPr>
            <w:r>
              <w:rPr>
                <w:rFonts w:ascii="Cambria" w:hAnsi="Cambria"/>
                <w:lang w:val="en-US" w:eastAsia="en-US"/>
              </w:rPr>
              <w:t xml:space="preserve"> Proses terbentuknya Negara</w:t>
            </w:r>
          </w:p>
          <w:p>
            <w:pPr>
              <w:pStyle w:val="15"/>
              <w:numPr>
                <w:ilvl w:val="0"/>
                <w:numId w:val="22"/>
              </w:numPr>
              <w:ind w:left="376"/>
              <w:rPr>
                <w:rFonts w:ascii="Cambria" w:hAnsi="Cambria"/>
                <w:lang w:val="en-US" w:eastAsia="en-US"/>
              </w:rPr>
            </w:pPr>
            <w:r>
              <w:rPr>
                <w:rFonts w:ascii="Cambria" w:hAnsi="Cambria"/>
                <w:lang w:val="en-US" w:eastAsia="en-US"/>
              </w:rPr>
              <w:t>Teori pengakuan Negara</w:t>
            </w:r>
          </w:p>
          <w:p>
            <w:pPr>
              <w:pStyle w:val="15"/>
              <w:numPr>
                <w:ilvl w:val="0"/>
                <w:numId w:val="22"/>
              </w:numPr>
              <w:ind w:left="376"/>
              <w:rPr>
                <w:rFonts w:ascii="Cambria" w:hAnsi="Cambria"/>
                <w:lang w:val="en-US" w:eastAsia="en-US"/>
              </w:rPr>
            </w:pPr>
            <w:r>
              <w:rPr>
                <w:rFonts w:ascii="Cambria" w:hAnsi="Cambria"/>
                <w:lang w:val="en-US" w:eastAsia="en-US"/>
              </w:rPr>
              <w:t>Komponen Negara</w:t>
            </w:r>
          </w:p>
          <w:p>
            <w:pPr>
              <w:pStyle w:val="15"/>
              <w:numPr>
                <w:ilvl w:val="0"/>
                <w:numId w:val="22"/>
              </w:numPr>
              <w:ind w:left="376"/>
              <w:rPr>
                <w:rFonts w:ascii="Cambria" w:hAnsi="Cambria"/>
                <w:lang w:val="en-US" w:eastAsia="en-US"/>
              </w:rPr>
            </w:pPr>
            <w:r>
              <w:rPr>
                <w:rFonts w:ascii="Cambria" w:hAnsi="Cambria"/>
                <w:lang w:val="en-US" w:eastAsia="en-US"/>
              </w:rPr>
              <w:t>Hak dan kewajiban negara</w:t>
            </w:r>
          </w:p>
          <w:p>
            <w:pPr>
              <w:rPr>
                <w:rFonts w:ascii="Cambria" w:hAnsi="Cambria"/>
                <w:lang w:val="en-US" w:eastAsia="en-US"/>
              </w:rPr>
            </w:pPr>
          </w:p>
          <w:p>
            <w:pPr>
              <w:rPr>
                <w:rFonts w:ascii="Cambria" w:hAnsi="Cambria"/>
                <w:lang w:val="en-US" w:eastAsia="en-US"/>
              </w:rPr>
            </w:pP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ceramah  dan diskusi </w:t>
            </w:r>
          </w:p>
        </w:tc>
        <w:tc>
          <w:tcPr>
            <w:tcW w:w="1849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Mahasiswa menyebutkan dan mendiskusikan pemahaman singkat tentang komponen Negara serta hak dan kewajiban negara</w:t>
            </w:r>
          </w:p>
        </w:tc>
        <w:tc>
          <w:tcPr>
            <w:tcW w:w="995" w:type="dxa"/>
            <w:gridSpan w:val="2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Tes non 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Tulis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Memahami tentang  proses dan komponen terbentuknya Negara dalam perspektif Huki serta hak dan kewajiban</w:t>
            </w:r>
          </w:p>
        </w:tc>
        <w:tc>
          <w:tcPr>
            <w:tcW w:w="980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Buku : 2,4 dan 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10</w:t>
            </w:r>
          </w:p>
        </w:tc>
        <w:tc>
          <w:tcPr>
            <w:tcW w:w="2135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Mahasiswa  dapat mengidentifikasi tahapan pembuatan dan pembatalan perjanjian internasional</w:t>
            </w:r>
          </w:p>
        </w:tc>
        <w:tc>
          <w:tcPr>
            <w:tcW w:w="2702" w:type="dxa"/>
          </w:tcPr>
          <w:p>
            <w:pPr>
              <w:pStyle w:val="15"/>
              <w:numPr>
                <w:ilvl w:val="0"/>
                <w:numId w:val="23"/>
              </w:numPr>
              <w:ind w:left="378" w:hanging="36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Memahami Definisi Hukum Perjanjian Internasional</w:t>
            </w:r>
          </w:p>
          <w:p>
            <w:pPr>
              <w:pStyle w:val="15"/>
              <w:numPr>
                <w:ilvl w:val="0"/>
                <w:numId w:val="23"/>
              </w:numPr>
              <w:ind w:left="378" w:hanging="36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Memahami Varian HPI</w:t>
            </w:r>
          </w:p>
          <w:p>
            <w:pPr>
              <w:pStyle w:val="15"/>
              <w:numPr>
                <w:ilvl w:val="0"/>
                <w:numId w:val="23"/>
              </w:numPr>
              <w:ind w:left="378" w:hanging="360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Menyebutkan tahapan pembuatan dan pembatalan perjanjian Internasional</w:t>
            </w:r>
          </w:p>
          <w:p>
            <w:pPr>
              <w:ind w:left="378" w:hanging="360"/>
              <w:jc w:val="both"/>
              <w:rPr>
                <w:rFonts w:ascii="Cambria" w:hAnsi="Cambria"/>
                <w:lang w:val="zh-CN" w:eastAsia="zh-CN"/>
              </w:rPr>
            </w:pP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992" w:type="dxa"/>
          </w:tcPr>
          <w:p>
            <w:pPr>
              <w:pStyle w:val="15"/>
              <w:numPr>
                <w:ilvl w:val="0"/>
                <w:numId w:val="24"/>
              </w:numPr>
              <w:ind w:left="376" w:hanging="376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Definisi Hukum perjanjian Internasional</w:t>
            </w:r>
          </w:p>
          <w:p>
            <w:pPr>
              <w:pStyle w:val="15"/>
              <w:numPr>
                <w:ilvl w:val="0"/>
                <w:numId w:val="24"/>
              </w:numPr>
              <w:ind w:left="376" w:hanging="376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Varian Hukum Perjanjian Internasional</w:t>
            </w:r>
          </w:p>
          <w:p>
            <w:pPr>
              <w:pStyle w:val="15"/>
              <w:numPr>
                <w:ilvl w:val="0"/>
                <w:numId w:val="24"/>
              </w:numPr>
              <w:ind w:left="376" w:hanging="376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Tahapan Pembuatan dan pembatalan Perjanjian Internasional</w:t>
            </w:r>
          </w:p>
          <w:p>
            <w:pPr>
              <w:ind w:left="376" w:hanging="376"/>
              <w:jc w:val="both"/>
              <w:rPr>
                <w:rFonts w:ascii="Cambria" w:hAnsi="Cambria"/>
                <w:lang w:val="zh-CN" w:eastAsia="zh-CN"/>
              </w:rPr>
            </w:pP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Ceramah, 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Tanya jawab</w:t>
            </w:r>
          </w:p>
        </w:tc>
        <w:tc>
          <w:tcPr>
            <w:tcW w:w="1849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Mahasiswa mendiskusikan dan menyebutkan tahapan pembuatan dan pembatalan perjanjian internasional</w:t>
            </w:r>
          </w:p>
        </w:tc>
        <w:tc>
          <w:tcPr>
            <w:tcW w:w="995" w:type="dxa"/>
            <w:gridSpan w:val="2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Tes non Tulis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Mahasiswa dapat mengidentifikasi tahapan pembuatan dan pembatalan perjanjian internasional</w:t>
            </w:r>
          </w:p>
        </w:tc>
        <w:tc>
          <w:tcPr>
            <w:tcW w:w="980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Buku : 1,2,8 dan 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11</w:t>
            </w:r>
          </w:p>
        </w:tc>
        <w:tc>
          <w:tcPr>
            <w:tcW w:w="2135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Mahasiswa dapat menganalisis beberapa kasus sengketa internasional</w:t>
            </w:r>
          </w:p>
        </w:tc>
        <w:tc>
          <w:tcPr>
            <w:tcW w:w="2702" w:type="dxa"/>
          </w:tcPr>
          <w:p>
            <w:pPr>
              <w:pStyle w:val="15"/>
              <w:numPr>
                <w:ilvl w:val="0"/>
                <w:numId w:val="25"/>
              </w:numPr>
              <w:ind w:left="378" w:hanging="378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Menganalisis sengketa wilayah antar beberapa Negara</w:t>
            </w:r>
          </w:p>
          <w:p>
            <w:pPr>
              <w:pStyle w:val="15"/>
              <w:numPr>
                <w:ilvl w:val="0"/>
                <w:numId w:val="25"/>
              </w:numPr>
              <w:ind w:left="378" w:hanging="378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Menganalisis sengketa Dagang antar beberapa negara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 </w:t>
            </w:r>
          </w:p>
        </w:tc>
        <w:tc>
          <w:tcPr>
            <w:tcW w:w="1992" w:type="dxa"/>
          </w:tcPr>
          <w:p>
            <w:pPr>
              <w:pStyle w:val="15"/>
              <w:numPr>
                <w:ilvl w:val="0"/>
                <w:numId w:val="26"/>
              </w:numPr>
              <w:ind w:left="376" w:hanging="347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Sengketa  Teritorial</w:t>
            </w:r>
          </w:p>
          <w:p>
            <w:pPr>
              <w:pStyle w:val="15"/>
              <w:numPr>
                <w:ilvl w:val="0"/>
                <w:numId w:val="26"/>
              </w:numPr>
              <w:ind w:left="376" w:hanging="347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>Sengketa Dagang</w:t>
            </w:r>
          </w:p>
          <w:p>
            <w:pPr>
              <w:ind w:left="376" w:right="-130" w:hanging="347"/>
              <w:jc w:val="both"/>
              <w:rPr>
                <w:rFonts w:ascii="Cambria" w:hAnsi="Cambria" w:cs="Calibri"/>
                <w:lang w:val="zh-CN" w:eastAsia="zh-CN"/>
              </w:rPr>
            </w:pPr>
            <w:r>
              <w:rPr>
                <w:rFonts w:ascii="Cambria" w:hAnsi="Cambria" w:cs="Calibri"/>
                <w:lang w:val="zh-CN" w:eastAsia="zh-CN"/>
              </w:rPr>
              <w:t xml:space="preserve"> </w:t>
            </w:r>
          </w:p>
          <w:p>
            <w:pPr>
              <w:pStyle w:val="15"/>
              <w:ind w:left="0"/>
              <w:rPr>
                <w:rFonts w:ascii="Cambria" w:hAnsi="Cambria" w:cs="Calibri"/>
                <w:lang w:val="zh-CN" w:eastAsia="zh-CN"/>
              </w:rPr>
            </w:pPr>
          </w:p>
          <w:p>
            <w:pPr>
              <w:jc w:val="both"/>
              <w:rPr>
                <w:rFonts w:ascii="Cambria" w:hAnsi="Cambria" w:cs="Calibri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 xml:space="preserve">Pembelajaran Kolaboratif pressentasi,  diskusi kelompok </w:t>
            </w:r>
          </w:p>
        </w:tc>
        <w:tc>
          <w:tcPr>
            <w:tcW w:w="1849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Mahasiswa mempresentasikan tugas paper didepan kelas dan ditanggapi oleh peserta kelas.</w:t>
            </w:r>
          </w:p>
        </w:tc>
        <w:tc>
          <w:tcPr>
            <w:tcW w:w="995" w:type="dxa"/>
            <w:gridSpan w:val="2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Tes Tulis</w:t>
            </w:r>
          </w:p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 w:cs="Calibri"/>
                <w:sz w:val="20"/>
                <w:szCs w:val="20"/>
                <w:lang w:val="zh-CN" w:eastAsia="zh-CN"/>
              </w:rPr>
              <w:t>Mahasiswa dapat menganalisis sla satu kasus sengketa hukum</w:t>
            </w:r>
          </w:p>
        </w:tc>
        <w:tc>
          <w:tcPr>
            <w:tcW w:w="980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Buku : 2,5,7 dan 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spacing w:line="360" w:lineRule="auto"/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16</w:t>
            </w:r>
          </w:p>
        </w:tc>
        <w:tc>
          <w:tcPr>
            <w:tcW w:w="2135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  <w:r>
              <w:rPr>
                <w:rFonts w:ascii="Cambria" w:hAnsi="Cambria"/>
                <w:lang w:val="zh-CN" w:eastAsia="zh-CN"/>
              </w:rPr>
              <w:t>Ujian Akhir Semester</w:t>
            </w:r>
          </w:p>
        </w:tc>
        <w:tc>
          <w:tcPr>
            <w:tcW w:w="2702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992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849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995" w:type="dxa"/>
            <w:gridSpan w:val="2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  <w:tc>
          <w:tcPr>
            <w:tcW w:w="1564" w:type="dxa"/>
          </w:tcPr>
          <w:p>
            <w:pPr>
              <w:pStyle w:val="15"/>
              <w:ind w:left="0"/>
              <w:jc w:val="both"/>
              <w:rPr>
                <w:rFonts w:ascii="Cambria" w:hAnsi="Cambria" w:cs="Calibri"/>
                <w:sz w:val="20"/>
                <w:szCs w:val="20"/>
                <w:lang w:val="zh-CN" w:eastAsia="zh-CN"/>
              </w:rPr>
            </w:pPr>
          </w:p>
        </w:tc>
        <w:tc>
          <w:tcPr>
            <w:tcW w:w="980" w:type="dxa"/>
          </w:tcPr>
          <w:p>
            <w:pPr>
              <w:jc w:val="both"/>
              <w:rPr>
                <w:rFonts w:ascii="Cambria" w:hAnsi="Cambria"/>
                <w:lang w:val="zh-CN" w:eastAsia="zh-CN"/>
              </w:rPr>
            </w:pPr>
          </w:p>
        </w:tc>
      </w:tr>
    </w:tbl>
    <w:p>
      <w:pPr>
        <w:pStyle w:val="4"/>
        <w:tabs>
          <w:tab w:val="left" w:pos="2977"/>
        </w:tabs>
        <w:kinsoku w:val="0"/>
        <w:overflowPunct w:val="0"/>
        <w:ind w:left="2835" w:hanging="2835"/>
        <w:jc w:val="left"/>
        <w:rPr>
          <w:rFonts w:ascii="Bookman Old Style" w:hAnsi="Bookman Old Style"/>
          <w:szCs w:val="24"/>
        </w:rPr>
      </w:pPr>
    </w:p>
    <w:p>
      <w:pPr>
        <w:pStyle w:val="4"/>
        <w:tabs>
          <w:tab w:val="left" w:pos="2977"/>
        </w:tabs>
        <w:kinsoku w:val="0"/>
        <w:overflowPunct w:val="0"/>
        <w:ind w:left="2835" w:hanging="2835"/>
        <w:jc w:val="left"/>
        <w:rPr>
          <w:rFonts w:ascii="Bookman Old Style" w:hAnsi="Bookman Old Style"/>
          <w:szCs w:val="24"/>
        </w:rPr>
      </w:pPr>
    </w:p>
    <w:p>
      <w:pPr>
        <w:pStyle w:val="4"/>
        <w:tabs>
          <w:tab w:val="left" w:pos="2977"/>
        </w:tabs>
        <w:kinsoku w:val="0"/>
        <w:overflowPunct w:val="0"/>
        <w:ind w:left="2835" w:hanging="2835"/>
        <w:jc w:val="left"/>
        <w:rPr>
          <w:rFonts w:ascii="Bookman Old Style" w:hAnsi="Bookman Old Style"/>
          <w:szCs w:val="24"/>
        </w:rPr>
      </w:pPr>
    </w:p>
    <w:p>
      <w:pPr>
        <w:pStyle w:val="4"/>
        <w:tabs>
          <w:tab w:val="left" w:pos="2977"/>
        </w:tabs>
        <w:kinsoku w:val="0"/>
        <w:overflowPunct w:val="0"/>
        <w:ind w:left="2835" w:hanging="2835"/>
        <w:jc w:val="left"/>
        <w:rPr>
          <w:rFonts w:ascii="Bookman Old Style" w:hAnsi="Bookman Old Style"/>
          <w:szCs w:val="24"/>
        </w:rPr>
      </w:pPr>
    </w:p>
    <w:p>
      <w:pPr>
        <w:pStyle w:val="4"/>
        <w:tabs>
          <w:tab w:val="left" w:pos="2977"/>
        </w:tabs>
        <w:kinsoku w:val="0"/>
        <w:overflowPunct w:val="0"/>
        <w:ind w:left="2835" w:hanging="2835"/>
        <w:jc w:val="left"/>
        <w:rPr>
          <w:rFonts w:ascii="Bookman Old Style" w:hAnsi="Bookman Old Style"/>
          <w:szCs w:val="24"/>
        </w:rPr>
      </w:pPr>
    </w:p>
    <w:p>
      <w:pPr>
        <w:pStyle w:val="4"/>
        <w:tabs>
          <w:tab w:val="left" w:pos="2977"/>
        </w:tabs>
        <w:kinsoku w:val="0"/>
        <w:overflowPunct w:val="0"/>
        <w:ind w:left="2835" w:hanging="2835"/>
        <w:jc w:val="left"/>
        <w:rPr>
          <w:rFonts w:ascii="Bookman Old Style" w:hAnsi="Bookman Old Style"/>
          <w:szCs w:val="24"/>
          <w:lang w:val="id-ID"/>
        </w:rPr>
      </w:pPr>
    </w:p>
    <w:p>
      <w:pPr>
        <w:pStyle w:val="4"/>
        <w:tabs>
          <w:tab w:val="left" w:pos="2977"/>
        </w:tabs>
        <w:kinsoku w:val="0"/>
        <w:overflowPunct w:val="0"/>
        <w:ind w:left="2835" w:hanging="2835"/>
        <w:jc w:val="left"/>
        <w:rPr>
          <w:rFonts w:ascii="Bookman Old Style" w:hAnsi="Bookman Old Style"/>
          <w:szCs w:val="24"/>
          <w:lang w:val="id-ID"/>
        </w:rPr>
      </w:pPr>
    </w:p>
    <w:p>
      <w:pPr>
        <w:spacing w:line="276" w:lineRule="auto"/>
        <w:rPr>
          <w:rFonts w:ascii="Bookman Old Style" w:hAnsi="Bookman Old Style"/>
        </w:rPr>
      </w:pPr>
    </w:p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r>
      <w:rPr>
        <w:i/>
        <w:sz w:val="16"/>
        <w:szCs w:val="16"/>
      </w:rPr>
      <w:t xml:space="preserve">Template RPS </w:t>
    </w:r>
    <w:r>
      <w:rPr>
        <w:sz w:val="16"/>
        <w:szCs w:val="16"/>
        <w:lang w:val="id-ID"/>
      </w:rPr>
      <w:t xml:space="preserve"> </w:t>
    </w:r>
    <w:r>
      <w:rPr>
        <w:sz w:val="16"/>
        <w:szCs w:val="16"/>
        <w:lang w:val="zh-CN"/>
      </w:rPr>
      <w:t>terintegrasi</w:t>
    </w:r>
    <w:r>
      <w:rPr>
        <w:sz w:val="16"/>
        <w:szCs w:val="16"/>
        <w:lang w:val="id-ID"/>
      </w:rPr>
      <w:t xml:space="preserve"> </w:t>
    </w:r>
    <w:r>
      <w:t xml:space="preserve">| </w:t>
    </w:r>
    <w:r>
      <w:fldChar w:fldCharType="begin"/>
    </w:r>
    <w:r>
      <w:instrText xml:space="preserve"> PAGE   \* MERGEFORMAT </w:instrText>
    </w:r>
    <w:r>
      <w:fldChar w:fldCharType="separate"/>
    </w:r>
    <w:r>
      <w:t>9</w:t>
    </w:r>
    <w:r>
      <w:fldChar w:fldCharType="end"/>
    </w:r>
    <w:r>
      <w:t xml:space="preserve"> </w:t>
    </w:r>
  </w:p>
  <w:p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7719ED"/>
    <w:multiLevelType w:val="multilevel"/>
    <w:tmpl w:val="0A7719ED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F1278"/>
    <w:multiLevelType w:val="multilevel"/>
    <w:tmpl w:val="0FDF1278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)"/>
      <w:lvlJc w:val="left"/>
      <w:pPr>
        <w:ind w:left="2340" w:hanging="360"/>
      </w:pPr>
      <w:rPr>
        <w:rFonts w:hint="default" w:eastAsia="Times New Roman"/>
        <w:b w:val="0"/>
      </w:rPr>
    </w:lvl>
    <w:lvl w:ilvl="3" w:tentative="0">
      <w:start w:val="1"/>
      <w:numFmt w:val="decimal"/>
      <w:lvlText w:val="%4)"/>
      <w:lvlJc w:val="left"/>
      <w:pPr>
        <w:ind w:left="2880" w:hanging="360"/>
      </w:pPr>
      <w:rPr>
        <w:rFonts w:hint="default" w:eastAsia="Times New Roman"/>
        <w:b w:val="0"/>
      </w:rPr>
    </w:lvl>
    <w:lvl w:ilvl="4" w:tentative="0">
      <w:start w:val="10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934AB"/>
    <w:multiLevelType w:val="multilevel"/>
    <w:tmpl w:val="1CF934AB"/>
    <w:lvl w:ilvl="0" w:tentative="0">
      <w:start w:val="1"/>
      <w:numFmt w:val="bullet"/>
      <w:lvlText w:val=""/>
      <w:lvlJc w:val="left"/>
      <w:pPr>
        <w:tabs>
          <w:tab w:val="left" w:pos="720"/>
        </w:tabs>
        <w:ind w:left="720" w:hanging="360"/>
      </w:pPr>
      <w:rPr>
        <w:rFonts w:hint="default" w:ascii="Wingdings 3" w:hAnsi="Wingdings 3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ascii="Arial" w:hAnsi="Arial" w:eastAsia="Calibri" w:cs="Arial"/>
      </w:rPr>
    </w:lvl>
    <w:lvl w:ilvl="2" w:tentative="0">
      <w:start w:val="1"/>
      <w:numFmt w:val="lowerLetter"/>
      <w:lvlText w:val="%3."/>
      <w:lvlJc w:val="left"/>
      <w:pPr>
        <w:ind w:left="2160" w:hanging="360"/>
      </w:pPr>
      <w:rPr>
        <w:rFonts w:hint="default"/>
        <w:b/>
      </w:rPr>
    </w:lvl>
    <w:lvl w:ilvl="3" w:tentative="0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entative="0">
      <w:start w:val="1"/>
      <w:numFmt w:val="decimal"/>
      <w:lvlText w:val="%5."/>
      <w:lvlJc w:val="left"/>
      <w:pPr>
        <w:ind w:left="3600" w:hanging="360"/>
      </w:pPr>
      <w:rPr>
        <w:rFonts w:hint="default"/>
        <w:b w:val="0"/>
      </w:rPr>
    </w:lvl>
    <w:lvl w:ilvl="5" w:tentative="0">
      <w:start w:val="1"/>
      <w:numFmt w:val="bullet"/>
      <w:lvlText w:val=""/>
      <w:lvlJc w:val="left"/>
      <w:pPr>
        <w:tabs>
          <w:tab w:val="left" w:pos="4320"/>
        </w:tabs>
        <w:ind w:left="4320" w:hanging="360"/>
      </w:pPr>
      <w:rPr>
        <w:rFonts w:hint="default" w:ascii="Wingdings 3" w:hAnsi="Wingdings 3"/>
      </w:rPr>
    </w:lvl>
    <w:lvl w:ilvl="6" w:tentative="0">
      <w:start w:val="1"/>
      <w:numFmt w:val="bullet"/>
      <w:lvlText w:val=""/>
      <w:lvlJc w:val="left"/>
      <w:pPr>
        <w:tabs>
          <w:tab w:val="left" w:pos="5040"/>
        </w:tabs>
        <w:ind w:left="5040" w:hanging="360"/>
      </w:pPr>
      <w:rPr>
        <w:rFonts w:hint="default" w:ascii="Wingdings 3" w:hAnsi="Wingdings 3"/>
      </w:rPr>
    </w:lvl>
    <w:lvl w:ilvl="7" w:tentative="0">
      <w:start w:val="1"/>
      <w:numFmt w:val="bullet"/>
      <w:lvlText w:val=""/>
      <w:lvlJc w:val="left"/>
      <w:pPr>
        <w:tabs>
          <w:tab w:val="left" w:pos="5760"/>
        </w:tabs>
        <w:ind w:left="5760" w:hanging="360"/>
      </w:pPr>
      <w:rPr>
        <w:rFonts w:hint="default" w:ascii="Wingdings 3" w:hAnsi="Wingdings 3"/>
      </w:rPr>
    </w:lvl>
    <w:lvl w:ilvl="8" w:tentative="0">
      <w:start w:val="1"/>
      <w:numFmt w:val="bullet"/>
      <w:lvlText w:val=""/>
      <w:lvlJc w:val="left"/>
      <w:pPr>
        <w:tabs>
          <w:tab w:val="left" w:pos="6480"/>
        </w:tabs>
        <w:ind w:left="6480" w:hanging="360"/>
      </w:pPr>
      <w:rPr>
        <w:rFonts w:hint="default" w:ascii="Wingdings 3" w:hAnsi="Wingdings 3"/>
      </w:rPr>
    </w:lvl>
  </w:abstractNum>
  <w:abstractNum w:abstractNumId="3">
    <w:nsid w:val="2528344C"/>
    <w:multiLevelType w:val="multilevel"/>
    <w:tmpl w:val="2528344C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B757AB"/>
    <w:multiLevelType w:val="multilevel"/>
    <w:tmpl w:val="2EB757AB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2B2FB2"/>
    <w:multiLevelType w:val="multilevel"/>
    <w:tmpl w:val="332B2FB2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ED4A05"/>
    <w:multiLevelType w:val="multilevel"/>
    <w:tmpl w:val="33ED4A05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52087B"/>
    <w:multiLevelType w:val="multilevel"/>
    <w:tmpl w:val="3752087B"/>
    <w:lvl w:ilvl="0" w:tentative="0">
      <w:start w:val="1"/>
      <w:numFmt w:val="lowerLetter"/>
      <w:lvlText w:val="%1)"/>
      <w:lvlJc w:val="left"/>
      <w:pPr>
        <w:ind w:left="569" w:hanging="360"/>
      </w:pPr>
      <w:rPr>
        <w:rFonts w:ascii="Cambria" w:hAnsi="Cambria" w:eastAsia="Times New Roman" w:cs="Times New Roman"/>
      </w:rPr>
    </w:lvl>
    <w:lvl w:ilvl="1" w:tentative="0">
      <w:start w:val="1"/>
      <w:numFmt w:val="lowerLetter"/>
      <w:lvlText w:val="%2."/>
      <w:lvlJc w:val="left"/>
      <w:pPr>
        <w:ind w:left="1289" w:hanging="360"/>
      </w:pPr>
    </w:lvl>
    <w:lvl w:ilvl="2" w:tentative="0">
      <w:start w:val="1"/>
      <w:numFmt w:val="lowerRoman"/>
      <w:lvlText w:val="%3."/>
      <w:lvlJc w:val="right"/>
      <w:pPr>
        <w:ind w:left="2009" w:hanging="180"/>
      </w:pPr>
    </w:lvl>
    <w:lvl w:ilvl="3" w:tentative="0">
      <w:start w:val="1"/>
      <w:numFmt w:val="decimal"/>
      <w:lvlText w:val="%4."/>
      <w:lvlJc w:val="left"/>
      <w:pPr>
        <w:ind w:left="2729" w:hanging="360"/>
      </w:pPr>
    </w:lvl>
    <w:lvl w:ilvl="4" w:tentative="0">
      <w:start w:val="1"/>
      <w:numFmt w:val="lowerLetter"/>
      <w:lvlText w:val="%5."/>
      <w:lvlJc w:val="left"/>
      <w:pPr>
        <w:ind w:left="3449" w:hanging="360"/>
      </w:pPr>
    </w:lvl>
    <w:lvl w:ilvl="5" w:tentative="0">
      <w:start w:val="1"/>
      <w:numFmt w:val="lowerRoman"/>
      <w:lvlText w:val="%6."/>
      <w:lvlJc w:val="right"/>
      <w:pPr>
        <w:ind w:left="4169" w:hanging="180"/>
      </w:pPr>
    </w:lvl>
    <w:lvl w:ilvl="6" w:tentative="0">
      <w:start w:val="1"/>
      <w:numFmt w:val="decimal"/>
      <w:lvlText w:val="%7."/>
      <w:lvlJc w:val="left"/>
      <w:pPr>
        <w:ind w:left="4889" w:hanging="360"/>
      </w:pPr>
    </w:lvl>
    <w:lvl w:ilvl="7" w:tentative="0">
      <w:start w:val="1"/>
      <w:numFmt w:val="lowerLetter"/>
      <w:lvlText w:val="%8."/>
      <w:lvlJc w:val="left"/>
      <w:pPr>
        <w:ind w:left="5609" w:hanging="360"/>
      </w:pPr>
    </w:lvl>
    <w:lvl w:ilvl="8" w:tentative="0">
      <w:start w:val="1"/>
      <w:numFmt w:val="lowerRoman"/>
      <w:lvlText w:val="%9."/>
      <w:lvlJc w:val="right"/>
      <w:pPr>
        <w:ind w:left="6329" w:hanging="180"/>
      </w:pPr>
    </w:lvl>
  </w:abstractNum>
  <w:abstractNum w:abstractNumId="8">
    <w:nsid w:val="3D2576F4"/>
    <w:multiLevelType w:val="multilevel"/>
    <w:tmpl w:val="3D2576F4"/>
    <w:lvl w:ilvl="0" w:tentative="0">
      <w:start w:val="1"/>
      <w:numFmt w:val="lowerLetter"/>
      <w:lvlText w:val="%1)"/>
      <w:lvlJc w:val="left"/>
      <w:pPr>
        <w:ind w:left="720" w:hanging="360"/>
      </w:pPr>
      <w:rPr>
        <w:rFonts w:ascii="Cambria" w:hAnsi="Cambria" w:eastAsia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0D7DF1"/>
    <w:multiLevelType w:val="multilevel"/>
    <w:tmpl w:val="430D7DF1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41568E"/>
    <w:multiLevelType w:val="multilevel"/>
    <w:tmpl w:val="4341568E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97D10"/>
    <w:multiLevelType w:val="multilevel"/>
    <w:tmpl w:val="45797D10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D53BF8"/>
    <w:multiLevelType w:val="multilevel"/>
    <w:tmpl w:val="49D53BF8"/>
    <w:lvl w:ilvl="0" w:tentative="0">
      <w:start w:val="1"/>
      <w:numFmt w:val="lowerLetter"/>
      <w:lvlText w:val="%1.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EB65DB"/>
    <w:multiLevelType w:val="multilevel"/>
    <w:tmpl w:val="4EEB65DB"/>
    <w:lvl w:ilvl="0" w:tentative="0">
      <w:start w:val="1"/>
      <w:numFmt w:val="lowerLetter"/>
      <w:lvlText w:val="%1)"/>
      <w:lvlJc w:val="left"/>
      <w:pPr>
        <w:ind w:left="73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56" w:hanging="360"/>
      </w:pPr>
    </w:lvl>
    <w:lvl w:ilvl="2" w:tentative="0">
      <w:start w:val="1"/>
      <w:numFmt w:val="lowerRoman"/>
      <w:lvlText w:val="%3."/>
      <w:lvlJc w:val="right"/>
      <w:pPr>
        <w:ind w:left="2176" w:hanging="180"/>
      </w:pPr>
    </w:lvl>
    <w:lvl w:ilvl="3" w:tentative="0">
      <w:start w:val="1"/>
      <w:numFmt w:val="decimal"/>
      <w:lvlText w:val="%4."/>
      <w:lvlJc w:val="left"/>
      <w:pPr>
        <w:ind w:left="2896" w:hanging="360"/>
      </w:pPr>
    </w:lvl>
    <w:lvl w:ilvl="4" w:tentative="0">
      <w:start w:val="1"/>
      <w:numFmt w:val="lowerLetter"/>
      <w:lvlText w:val="%5."/>
      <w:lvlJc w:val="left"/>
      <w:pPr>
        <w:ind w:left="3616" w:hanging="360"/>
      </w:pPr>
    </w:lvl>
    <w:lvl w:ilvl="5" w:tentative="0">
      <w:start w:val="1"/>
      <w:numFmt w:val="lowerRoman"/>
      <w:lvlText w:val="%6."/>
      <w:lvlJc w:val="right"/>
      <w:pPr>
        <w:ind w:left="4336" w:hanging="180"/>
      </w:pPr>
    </w:lvl>
    <w:lvl w:ilvl="6" w:tentative="0">
      <w:start w:val="1"/>
      <w:numFmt w:val="decimal"/>
      <w:lvlText w:val="%7."/>
      <w:lvlJc w:val="left"/>
      <w:pPr>
        <w:ind w:left="5056" w:hanging="360"/>
      </w:pPr>
    </w:lvl>
    <w:lvl w:ilvl="7" w:tentative="0">
      <w:start w:val="1"/>
      <w:numFmt w:val="lowerLetter"/>
      <w:lvlText w:val="%8."/>
      <w:lvlJc w:val="left"/>
      <w:pPr>
        <w:ind w:left="5776" w:hanging="360"/>
      </w:pPr>
    </w:lvl>
    <w:lvl w:ilvl="8" w:tentative="0">
      <w:start w:val="1"/>
      <w:numFmt w:val="lowerRoman"/>
      <w:lvlText w:val="%9."/>
      <w:lvlJc w:val="right"/>
      <w:pPr>
        <w:ind w:left="6496" w:hanging="180"/>
      </w:pPr>
    </w:lvl>
  </w:abstractNum>
  <w:abstractNum w:abstractNumId="14">
    <w:nsid w:val="4EF308EE"/>
    <w:multiLevelType w:val="multilevel"/>
    <w:tmpl w:val="4EF308EE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7F7822"/>
    <w:multiLevelType w:val="multilevel"/>
    <w:tmpl w:val="4F7F7822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 w:ascii="Bookman Old Style" w:hAnsi="Bookman Old Styl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2C0B6F"/>
    <w:multiLevelType w:val="multilevel"/>
    <w:tmpl w:val="532C0B6F"/>
    <w:lvl w:ilvl="0" w:tentative="0">
      <w:start w:val="1"/>
      <w:numFmt w:val="lowerLetter"/>
      <w:lvlText w:val="%1)"/>
      <w:lvlJc w:val="left"/>
      <w:pPr>
        <w:ind w:left="1440" w:hanging="108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B080D"/>
    <w:multiLevelType w:val="multilevel"/>
    <w:tmpl w:val="5C3B080D"/>
    <w:lvl w:ilvl="0" w:tentative="0">
      <w:start w:val="1"/>
      <w:numFmt w:val="lowerLetter"/>
      <w:lvlText w:val="%1)"/>
      <w:lvlJc w:val="left"/>
      <w:pPr>
        <w:ind w:left="715" w:hanging="360"/>
      </w:pPr>
    </w:lvl>
    <w:lvl w:ilvl="1" w:tentative="0">
      <w:start w:val="1"/>
      <w:numFmt w:val="lowerLetter"/>
      <w:lvlText w:val="%2."/>
      <w:lvlJc w:val="left"/>
      <w:pPr>
        <w:ind w:left="1435" w:hanging="360"/>
      </w:pPr>
    </w:lvl>
    <w:lvl w:ilvl="2" w:tentative="0">
      <w:start w:val="1"/>
      <w:numFmt w:val="lowerRoman"/>
      <w:lvlText w:val="%3."/>
      <w:lvlJc w:val="right"/>
      <w:pPr>
        <w:ind w:left="2155" w:hanging="180"/>
      </w:pPr>
    </w:lvl>
    <w:lvl w:ilvl="3" w:tentative="0">
      <w:start w:val="1"/>
      <w:numFmt w:val="decimal"/>
      <w:lvlText w:val="%4."/>
      <w:lvlJc w:val="left"/>
      <w:pPr>
        <w:ind w:left="2875" w:hanging="360"/>
      </w:pPr>
    </w:lvl>
    <w:lvl w:ilvl="4" w:tentative="0">
      <w:start w:val="1"/>
      <w:numFmt w:val="lowerLetter"/>
      <w:lvlText w:val="%5."/>
      <w:lvlJc w:val="left"/>
      <w:pPr>
        <w:ind w:left="3595" w:hanging="360"/>
      </w:pPr>
    </w:lvl>
    <w:lvl w:ilvl="5" w:tentative="0">
      <w:start w:val="1"/>
      <w:numFmt w:val="lowerRoman"/>
      <w:lvlText w:val="%6."/>
      <w:lvlJc w:val="right"/>
      <w:pPr>
        <w:ind w:left="4315" w:hanging="180"/>
      </w:pPr>
    </w:lvl>
    <w:lvl w:ilvl="6" w:tentative="0">
      <w:start w:val="1"/>
      <w:numFmt w:val="decimal"/>
      <w:lvlText w:val="%7."/>
      <w:lvlJc w:val="left"/>
      <w:pPr>
        <w:ind w:left="5035" w:hanging="360"/>
      </w:pPr>
    </w:lvl>
    <w:lvl w:ilvl="7" w:tentative="0">
      <w:start w:val="1"/>
      <w:numFmt w:val="lowerLetter"/>
      <w:lvlText w:val="%8."/>
      <w:lvlJc w:val="left"/>
      <w:pPr>
        <w:ind w:left="5755" w:hanging="360"/>
      </w:pPr>
    </w:lvl>
    <w:lvl w:ilvl="8" w:tentative="0">
      <w:start w:val="1"/>
      <w:numFmt w:val="lowerRoman"/>
      <w:lvlText w:val="%9."/>
      <w:lvlJc w:val="right"/>
      <w:pPr>
        <w:ind w:left="6475" w:hanging="180"/>
      </w:pPr>
    </w:lvl>
  </w:abstractNum>
  <w:abstractNum w:abstractNumId="18">
    <w:nsid w:val="66E5201C"/>
    <w:multiLevelType w:val="multilevel"/>
    <w:tmpl w:val="66E5201C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792013"/>
    <w:multiLevelType w:val="multilevel"/>
    <w:tmpl w:val="6979201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Bookman Old Style" w:hAnsi="Bookman Old Style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E9718B"/>
    <w:multiLevelType w:val="multilevel"/>
    <w:tmpl w:val="6CE9718B"/>
    <w:lvl w:ilvl="0" w:tentative="0">
      <w:start w:val="1"/>
      <w:numFmt w:val="lowerLetter"/>
      <w:lvlText w:val="%1)"/>
      <w:lvlJc w:val="left"/>
      <w:pPr>
        <w:ind w:left="929" w:hanging="90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09" w:hanging="360"/>
      </w:pPr>
    </w:lvl>
    <w:lvl w:ilvl="2" w:tentative="0">
      <w:start w:val="1"/>
      <w:numFmt w:val="lowerRoman"/>
      <w:lvlText w:val="%3."/>
      <w:lvlJc w:val="right"/>
      <w:pPr>
        <w:ind w:left="1829" w:hanging="180"/>
      </w:pPr>
    </w:lvl>
    <w:lvl w:ilvl="3" w:tentative="0">
      <w:start w:val="1"/>
      <w:numFmt w:val="decimal"/>
      <w:lvlText w:val="%4."/>
      <w:lvlJc w:val="left"/>
      <w:pPr>
        <w:ind w:left="2549" w:hanging="360"/>
      </w:pPr>
    </w:lvl>
    <w:lvl w:ilvl="4" w:tentative="0">
      <w:start w:val="1"/>
      <w:numFmt w:val="lowerLetter"/>
      <w:lvlText w:val="%5."/>
      <w:lvlJc w:val="left"/>
      <w:pPr>
        <w:ind w:left="3269" w:hanging="360"/>
      </w:pPr>
    </w:lvl>
    <w:lvl w:ilvl="5" w:tentative="0">
      <w:start w:val="1"/>
      <w:numFmt w:val="lowerRoman"/>
      <w:lvlText w:val="%6."/>
      <w:lvlJc w:val="right"/>
      <w:pPr>
        <w:ind w:left="3989" w:hanging="180"/>
      </w:pPr>
    </w:lvl>
    <w:lvl w:ilvl="6" w:tentative="0">
      <w:start w:val="1"/>
      <w:numFmt w:val="decimal"/>
      <w:lvlText w:val="%7."/>
      <w:lvlJc w:val="left"/>
      <w:pPr>
        <w:ind w:left="4709" w:hanging="360"/>
      </w:pPr>
    </w:lvl>
    <w:lvl w:ilvl="7" w:tentative="0">
      <w:start w:val="1"/>
      <w:numFmt w:val="lowerLetter"/>
      <w:lvlText w:val="%8."/>
      <w:lvlJc w:val="left"/>
      <w:pPr>
        <w:ind w:left="5429" w:hanging="360"/>
      </w:pPr>
    </w:lvl>
    <w:lvl w:ilvl="8" w:tentative="0">
      <w:start w:val="1"/>
      <w:numFmt w:val="lowerRoman"/>
      <w:lvlText w:val="%9."/>
      <w:lvlJc w:val="right"/>
      <w:pPr>
        <w:ind w:left="6149" w:hanging="180"/>
      </w:pPr>
    </w:lvl>
  </w:abstractNum>
  <w:abstractNum w:abstractNumId="21">
    <w:nsid w:val="715D3A46"/>
    <w:multiLevelType w:val="multilevel"/>
    <w:tmpl w:val="715D3A46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BA6805"/>
    <w:multiLevelType w:val="multilevel"/>
    <w:tmpl w:val="73BA6805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F44BA3"/>
    <w:multiLevelType w:val="multilevel"/>
    <w:tmpl w:val="76F44BA3"/>
    <w:lvl w:ilvl="0" w:tentative="0">
      <w:start w:val="1"/>
      <w:numFmt w:val="lowerLetter"/>
      <w:lvlText w:val="%1)"/>
      <w:lvlJc w:val="left"/>
      <w:pPr>
        <w:ind w:left="720" w:hanging="360"/>
      </w:pPr>
      <w:rPr>
        <w:rFonts w:ascii="Cambria" w:hAnsi="Cambria" w:eastAsia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A06579"/>
    <w:multiLevelType w:val="multilevel"/>
    <w:tmpl w:val="7FA0657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B81953"/>
    <w:multiLevelType w:val="multilevel"/>
    <w:tmpl w:val="7FB81953"/>
    <w:lvl w:ilvl="0" w:tentative="0">
      <w:start w:val="1"/>
      <w:numFmt w:val="lowerLetter"/>
      <w:lvlText w:val="%1)"/>
      <w:lvlJc w:val="left"/>
      <w:pPr>
        <w:ind w:left="810" w:hanging="45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1"/>
  </w:num>
  <w:num w:numId="5">
    <w:abstractNumId w:val="12"/>
  </w:num>
  <w:num w:numId="6">
    <w:abstractNumId w:val="19"/>
  </w:num>
  <w:num w:numId="7">
    <w:abstractNumId w:val="22"/>
  </w:num>
  <w:num w:numId="8">
    <w:abstractNumId w:val="7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5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23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8"/>
  </w:num>
  <w:num w:numId="18">
    <w:abstractNumId w:val="14"/>
  </w:num>
  <w:num w:numId="19">
    <w:abstractNumId w:val="13"/>
  </w:num>
  <w:num w:numId="20">
    <w:abstractNumId w:val="9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25"/>
  </w:num>
  <w:num w:numId="24">
    <w:abstractNumId w:val="3"/>
  </w:num>
  <w:num w:numId="25">
    <w:abstractNumId w:val="5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7332E"/>
    <w:rsid w:val="00005954"/>
    <w:rsid w:val="0009568F"/>
    <w:rsid w:val="000E6472"/>
    <w:rsid w:val="0011693C"/>
    <w:rsid w:val="00132337"/>
    <w:rsid w:val="001F51B1"/>
    <w:rsid w:val="00216E20"/>
    <w:rsid w:val="002622E2"/>
    <w:rsid w:val="00263673"/>
    <w:rsid w:val="002A07F8"/>
    <w:rsid w:val="002B7A6D"/>
    <w:rsid w:val="00317EE7"/>
    <w:rsid w:val="003518BF"/>
    <w:rsid w:val="003A1283"/>
    <w:rsid w:val="003C1173"/>
    <w:rsid w:val="004632D3"/>
    <w:rsid w:val="00483822"/>
    <w:rsid w:val="00592831"/>
    <w:rsid w:val="005A6DAD"/>
    <w:rsid w:val="005D5F46"/>
    <w:rsid w:val="00600EE4"/>
    <w:rsid w:val="00656E80"/>
    <w:rsid w:val="00712550"/>
    <w:rsid w:val="00713EDB"/>
    <w:rsid w:val="00803CF0"/>
    <w:rsid w:val="0085546E"/>
    <w:rsid w:val="00884004"/>
    <w:rsid w:val="008A38C4"/>
    <w:rsid w:val="008C6980"/>
    <w:rsid w:val="008E1CCA"/>
    <w:rsid w:val="00A22575"/>
    <w:rsid w:val="00A42DF4"/>
    <w:rsid w:val="00A76392"/>
    <w:rsid w:val="00A83DB8"/>
    <w:rsid w:val="00B245A6"/>
    <w:rsid w:val="00B65215"/>
    <w:rsid w:val="00B7332E"/>
    <w:rsid w:val="00C458FB"/>
    <w:rsid w:val="00C9082D"/>
    <w:rsid w:val="00CE5E07"/>
    <w:rsid w:val="00D0461A"/>
    <w:rsid w:val="00D51A54"/>
    <w:rsid w:val="00D91FD8"/>
    <w:rsid w:val="00DA2B18"/>
    <w:rsid w:val="00DF4A03"/>
    <w:rsid w:val="00E00499"/>
    <w:rsid w:val="00E67C72"/>
    <w:rsid w:val="00E8467B"/>
    <w:rsid w:val="00EA6E78"/>
    <w:rsid w:val="00EC639E"/>
    <w:rsid w:val="00EE0E15"/>
    <w:rsid w:val="00F43E89"/>
    <w:rsid w:val="00F857DD"/>
    <w:rsid w:val="00FB485F"/>
    <w:rsid w:val="00FC5744"/>
    <w:rsid w:val="06435997"/>
    <w:rsid w:val="2F965A20"/>
    <w:rsid w:val="3E28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35"/>
        <o:r id="V:Rule2" type="connector" idref="#_x0000_s1036"/>
        <o:r id="V:Rule3" type="connector" idref="#_x0000_s1037"/>
        <o:r id="V:Rule4" type="connector" idref="#_x0000_s1038"/>
        <o:r id="V:Rule5" type="connector" idref="#_x0000_s1039"/>
        <o:r id="V:Rule6" type="connector" idref="#_x0000_s1040"/>
        <o:r id="V:Rule7" type="connector" idref="#_x0000_s1041"/>
        <o:r id="V:Rule8" type="connector" idref="#_x0000_s1042"/>
        <o:r id="V:Rule9" type="connector" idref="#_x0000_s1043"/>
        <o:r id="V:Rule10" type="connector" idref="#_x0000_s1044"/>
        <o:r id="V:Rule11" type="connector" idref="#_x0000_s1045"/>
        <o:r id="V:Rule12" type="connector" idref="#_x0000_s1046"/>
        <o:r id="V:Rule13" type="connector" idref="#_x0000_s1047"/>
        <o:r id="V:Rule14" type="connector" idref="#_x0000_s1048"/>
        <o:r id="V:Rule15" type="connector" idref="#_x0000_s1049"/>
        <o:r id="V:Rule16" type="connector" idref="#_x0000_s1050"/>
        <o:r id="V:Rule17" type="connector" idref="#_x0000_s105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2"/>
    <w:unhideWhenUsed/>
    <w:qFormat/>
    <w:uiPriority w:val="99"/>
    <w:pPr>
      <w:spacing w:before="120" w:line="360" w:lineRule="auto"/>
      <w:jc w:val="both"/>
    </w:pPr>
    <w:rPr>
      <w:rFonts w:ascii="Arial" w:hAnsi="Arial" w:eastAsia="Calibri"/>
      <w:sz w:val="22"/>
      <w:szCs w:val="20"/>
    </w:rPr>
  </w:style>
  <w:style w:type="paragraph" w:styleId="5">
    <w:name w:val="Body Text Indent"/>
    <w:basedOn w:val="1"/>
    <w:link w:val="18"/>
    <w:unhideWhenUsed/>
    <w:uiPriority w:val="99"/>
    <w:pPr>
      <w:spacing w:after="120"/>
      <w:ind w:left="360"/>
    </w:pPr>
  </w:style>
  <w:style w:type="paragraph" w:styleId="6">
    <w:name w:val="footer"/>
    <w:basedOn w:val="1"/>
    <w:link w:val="13"/>
    <w:unhideWhenUsed/>
    <w:uiPriority w:val="99"/>
    <w:pPr>
      <w:tabs>
        <w:tab w:val="center" w:pos="4513"/>
        <w:tab w:val="right" w:pos="9026"/>
      </w:tabs>
    </w:pPr>
  </w:style>
  <w:style w:type="paragraph" w:styleId="7">
    <w:name w:val="header"/>
    <w:basedOn w:val="1"/>
    <w:link w:val="14"/>
    <w:qFormat/>
    <w:uiPriority w:val="0"/>
    <w:pPr>
      <w:tabs>
        <w:tab w:val="center" w:pos="4320"/>
        <w:tab w:val="right" w:pos="8640"/>
      </w:tabs>
    </w:pPr>
  </w:style>
  <w:style w:type="table" w:styleId="8">
    <w:name w:val="Table Grid"/>
    <w:basedOn w:val="3"/>
    <w:unhideWhenUsed/>
    <w:uiPriority w:val="59"/>
    <w:pPr>
      <w:spacing w:after="0" w:line="240" w:lineRule="auto"/>
    </w:pPr>
    <w:rPr>
      <w:lang w:val="zh-CN"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Body Text Char"/>
    <w:link w:val="4"/>
    <w:uiPriority w:val="99"/>
    <w:rPr>
      <w:rFonts w:ascii="Arial" w:hAnsi="Arial" w:eastAsia="Calibri" w:cs="Times New Roman"/>
      <w:szCs w:val="20"/>
    </w:rPr>
  </w:style>
  <w:style w:type="character" w:customStyle="1" w:styleId="10">
    <w:name w:val="Header Char"/>
    <w:link w:val="7"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1">
    <w:name w:val="Footer Char"/>
    <w:link w:val="6"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Body Text Char1"/>
    <w:basedOn w:val="2"/>
    <w:link w:val="4"/>
    <w:semiHidden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Footer Char1"/>
    <w:basedOn w:val="2"/>
    <w:link w:val="6"/>
    <w:semiHidden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4">
    <w:name w:val="Header Char1"/>
    <w:basedOn w:val="2"/>
    <w:link w:val="7"/>
    <w:semiHidden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15">
    <w:name w:val="List Paragraph"/>
    <w:basedOn w:val="1"/>
    <w:link w:val="17"/>
    <w:qFormat/>
    <w:uiPriority w:val="34"/>
    <w:pPr>
      <w:ind w:left="720"/>
    </w:pPr>
  </w:style>
  <w:style w:type="paragraph" w:customStyle="1" w:styleId="16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 w:eastAsia="en-US" w:bidi="ar-SA"/>
    </w:rPr>
  </w:style>
  <w:style w:type="character" w:customStyle="1" w:styleId="17">
    <w:name w:val="List Paragraph Char"/>
    <w:link w:val="15"/>
    <w:locked/>
    <w:uiPriority w:val="34"/>
    <w:rPr>
      <w:rFonts w:ascii="Times New Roman" w:hAnsi="Times New Roman" w:eastAsia="Times New Roman" w:cs="Times New Roman"/>
      <w:sz w:val="24"/>
      <w:szCs w:val="24"/>
    </w:rPr>
  </w:style>
  <w:style w:type="character" w:customStyle="1" w:styleId="18">
    <w:name w:val="Body Text Indent Char"/>
    <w:basedOn w:val="2"/>
    <w:link w:val="5"/>
    <w:uiPriority w:val="99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41"/>
    <customShpInfo spid="_x0000_s1027"/>
    <customShpInfo spid="_x0000_s1040"/>
    <customShpInfo spid="_x0000_s1028"/>
    <customShpInfo spid="_x0000_s1039"/>
    <customShpInfo spid="_x0000_s1038"/>
    <customShpInfo spid="_x0000_s1037"/>
    <customShpInfo spid="_x0000_s1036"/>
    <customShpInfo spid="_x0000_s1035"/>
    <customShpInfo spid="_x0000_s1031"/>
    <customShpInfo spid="_x0000_s1030"/>
    <customShpInfo spid="_x0000_s1029"/>
    <customShpInfo spid="_x0000_s1046"/>
    <customShpInfo spid="_x0000_s1045"/>
    <customShpInfo spid="_x0000_s1044"/>
    <customShpInfo spid="_x0000_s1042"/>
    <customShpInfo spid="_x0000_s1051"/>
    <customShpInfo spid="_x0000_s1043"/>
    <customShpInfo spid="_x0000_s1050"/>
    <customShpInfo spid="_x0000_s1049"/>
    <customShpInfo spid="_x0000_s1048"/>
    <customShpInfo spid="_x0000_s1047"/>
    <customShpInfo spid="_x0000_s1034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1614</Words>
  <Characters>9203</Characters>
  <Lines>76</Lines>
  <Paragraphs>21</Paragraphs>
  <TotalTime>2</TotalTime>
  <ScaleCrop>false</ScaleCrop>
  <LinksUpToDate>false</LinksUpToDate>
  <CharactersWithSpaces>10796</CharactersWithSpaces>
  <Application>WPS Office_11.2.0.11029_F1E327BC-269C-435d-A152-05C5408002CA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2018-11-08T12:17:00Z</dcterms:created>
  <dc:creator>ASUS</dc:creator>
  <cp:lastModifiedBy>ASUS</cp:lastModifiedBy>
  <dcterms:modified xsi:type="dcterms:W3CDTF">2022-03-15T06:41:20Z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1033-11.2.0.11029</vt:lpwstr>
  </property>
  <property fmtid="{D5CDD505-2E9C-101B-9397-08002B2CF9AE}" pid="3" name="ICV">
    <vt:lpwstr>9CC920736488470BBCE5DF8B018E18BD</vt:lpwstr>
  </property>
</Properties>
</file>