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EA5BA" w14:textId="77777777" w:rsidR="0004136D" w:rsidRPr="00B55DE1" w:rsidRDefault="0004136D" w:rsidP="00887AA2">
      <w:pPr>
        <w:jc w:val="center"/>
        <w:rPr>
          <w:b/>
          <w:bCs/>
        </w:rPr>
      </w:pPr>
      <w:r w:rsidRPr="00B55DE1">
        <w:rPr>
          <w:b/>
          <w:bCs/>
          <w:lang w:val="en"/>
        </w:rPr>
        <w:t xml:space="preserve">THE INFLUENCE </w:t>
      </w:r>
      <w:r w:rsidRPr="0079659A">
        <w:rPr>
          <w:b/>
          <w:bCs/>
          <w:i/>
          <w:iCs/>
          <w:lang w:val="en"/>
        </w:rPr>
        <w:t xml:space="preserve">OF </w:t>
      </w:r>
      <w:proofErr w:type="gramStart"/>
      <w:r w:rsidRPr="0079659A">
        <w:rPr>
          <w:b/>
          <w:bCs/>
          <w:i/>
          <w:iCs/>
          <w:lang w:val="en"/>
        </w:rPr>
        <w:t xml:space="preserve">ENTERPRISE </w:t>
      </w:r>
      <w:r>
        <w:rPr>
          <w:lang w:val="en"/>
        </w:rPr>
        <w:t xml:space="preserve"> </w:t>
      </w:r>
      <w:r w:rsidRPr="0079659A">
        <w:rPr>
          <w:b/>
          <w:i/>
          <w:lang w:val="en"/>
        </w:rPr>
        <w:t>RISK</w:t>
      </w:r>
      <w:proofErr w:type="gramEnd"/>
      <w:r w:rsidRPr="0079659A">
        <w:rPr>
          <w:b/>
          <w:i/>
          <w:lang w:val="en"/>
        </w:rPr>
        <w:t xml:space="preserve"> MANAGEMENT </w:t>
      </w:r>
      <w:r>
        <w:rPr>
          <w:lang w:val="en"/>
        </w:rPr>
        <w:t xml:space="preserve"> </w:t>
      </w:r>
      <w:r w:rsidRPr="0079659A">
        <w:rPr>
          <w:b/>
          <w:bCs/>
          <w:i/>
          <w:iCs/>
          <w:lang w:val="en"/>
        </w:rPr>
        <w:t>DISCLOSURE</w:t>
      </w:r>
      <w:r>
        <w:rPr>
          <w:lang w:val="en"/>
        </w:rPr>
        <w:t xml:space="preserve"> </w:t>
      </w:r>
      <w:r w:rsidRPr="00B55DE1">
        <w:rPr>
          <w:b/>
          <w:bCs/>
          <w:lang w:val="en"/>
        </w:rPr>
        <w:t xml:space="preserve"> AND </w:t>
      </w:r>
      <w:r>
        <w:rPr>
          <w:lang w:val="en"/>
        </w:rPr>
        <w:t xml:space="preserve">INTELLECTUAL </w:t>
      </w:r>
      <w:r w:rsidRPr="0079659A">
        <w:rPr>
          <w:b/>
          <w:bCs/>
          <w:i/>
          <w:iCs/>
          <w:lang w:val="en"/>
        </w:rPr>
        <w:t>CAPITAL DIS</w:t>
      </w:r>
      <w:r>
        <w:rPr>
          <w:b/>
          <w:i/>
          <w:lang w:val="en"/>
        </w:rPr>
        <w:t>C</w:t>
      </w:r>
      <w:r w:rsidRPr="0079659A">
        <w:rPr>
          <w:b/>
          <w:bCs/>
          <w:i/>
          <w:iCs/>
          <w:lang w:val="en"/>
        </w:rPr>
        <w:t>LOSURE</w:t>
      </w:r>
      <w:r>
        <w:rPr>
          <w:lang w:val="en"/>
        </w:rPr>
        <w:t xml:space="preserve"> ON THE VALUE OF COMPANIES</w:t>
      </w:r>
      <w:r w:rsidRPr="00B55DE1">
        <w:rPr>
          <w:b/>
          <w:bCs/>
          <w:lang w:val="en"/>
        </w:rPr>
        <w:t xml:space="preserve"> WITH </w:t>
      </w:r>
      <w:r>
        <w:rPr>
          <w:lang w:val="en"/>
        </w:rPr>
        <w:t xml:space="preserve">AN INDEPENDENT BOARD OF </w:t>
      </w:r>
      <w:r>
        <w:rPr>
          <w:b/>
          <w:lang w:val="en"/>
        </w:rPr>
        <w:t>COMMISSIONERS</w:t>
      </w:r>
      <w:r>
        <w:rPr>
          <w:lang w:val="en"/>
        </w:rPr>
        <w:t xml:space="preserve"> </w:t>
      </w:r>
      <w:r w:rsidRPr="00B55DE1">
        <w:rPr>
          <w:b/>
          <w:bCs/>
          <w:lang w:val="en"/>
        </w:rPr>
        <w:t xml:space="preserve"> AS MODERATION VARIABLES</w:t>
      </w:r>
    </w:p>
    <w:p w14:paraId="5B687489" w14:textId="77777777" w:rsidR="0004136D" w:rsidRDefault="0004136D" w:rsidP="00887AA2"/>
    <w:p w14:paraId="0A191B2B" w14:textId="61F88057" w:rsidR="008703EA" w:rsidRDefault="008703EA" w:rsidP="008703EA">
      <w:pPr>
        <w:jc w:val="center"/>
        <w:rPr>
          <w:lang w:val="en-US"/>
        </w:rPr>
      </w:pPr>
      <w:r>
        <w:rPr>
          <w:lang w:val="en-US"/>
        </w:rPr>
        <w:t xml:space="preserve">Ledy </w:t>
      </w:r>
      <w:proofErr w:type="spellStart"/>
      <w:r>
        <w:rPr>
          <w:lang w:val="en-US"/>
        </w:rPr>
        <w:t>Setiawati</w:t>
      </w:r>
      <w:proofErr w:type="spellEnd"/>
      <w:r>
        <w:rPr>
          <w:lang w:val="en-US"/>
        </w:rPr>
        <w:t xml:space="preserve">*, Indra </w:t>
      </w:r>
      <w:proofErr w:type="spellStart"/>
      <w:r>
        <w:rPr>
          <w:lang w:val="en-US"/>
        </w:rPr>
        <w:t>Suyoto</w:t>
      </w:r>
      <w:proofErr w:type="spellEnd"/>
      <w:r>
        <w:rPr>
          <w:lang w:val="en-US"/>
        </w:rPr>
        <w:t xml:space="preserve"> Kurniawan, </w:t>
      </w:r>
      <w:proofErr w:type="spellStart"/>
      <w:r>
        <w:rPr>
          <w:lang w:val="en-US"/>
        </w:rPr>
        <w:t>Ibnu</w:t>
      </w:r>
      <w:proofErr w:type="spellEnd"/>
      <w:r>
        <w:rPr>
          <w:lang w:val="en-US"/>
        </w:rPr>
        <w:t xml:space="preserve"> </w:t>
      </w:r>
      <w:proofErr w:type="spellStart"/>
      <w:r>
        <w:rPr>
          <w:lang w:val="en-US"/>
        </w:rPr>
        <w:t>Abni</w:t>
      </w:r>
      <w:proofErr w:type="spellEnd"/>
      <w:r>
        <w:rPr>
          <w:lang w:val="en-US"/>
        </w:rPr>
        <w:t xml:space="preserve"> </w:t>
      </w:r>
      <w:proofErr w:type="spellStart"/>
      <w:r>
        <w:rPr>
          <w:lang w:val="en-US"/>
        </w:rPr>
        <w:t>Lahaya</w:t>
      </w:r>
      <w:proofErr w:type="spellEnd"/>
    </w:p>
    <w:p w14:paraId="156080BF" w14:textId="477486C5" w:rsidR="008703EA" w:rsidRDefault="008703EA" w:rsidP="008703EA">
      <w:pPr>
        <w:jc w:val="center"/>
        <w:rPr>
          <w:lang w:val="en-US"/>
        </w:rPr>
      </w:pPr>
      <w:hyperlink r:id="rId5" w:history="1">
        <w:r w:rsidRPr="00515084">
          <w:rPr>
            <w:rStyle w:val="Hyperlink"/>
            <w:lang w:val="en-US"/>
          </w:rPr>
          <w:t>ledy.setiawati@feb.unmul.ac.id</w:t>
        </w:r>
      </w:hyperlink>
    </w:p>
    <w:p w14:paraId="650ED016" w14:textId="5C631964" w:rsidR="008703EA" w:rsidRDefault="008703EA" w:rsidP="008703EA">
      <w:pPr>
        <w:jc w:val="center"/>
        <w:rPr>
          <w:lang w:val="en-US"/>
        </w:rPr>
      </w:pPr>
    </w:p>
    <w:p w14:paraId="60D20BC2" w14:textId="41D07AA5" w:rsidR="008703EA" w:rsidRPr="004B6C5B" w:rsidRDefault="008703EA" w:rsidP="008703EA">
      <w:pPr>
        <w:jc w:val="center"/>
        <w:rPr>
          <w:b/>
          <w:bCs/>
          <w:lang w:val="en-US"/>
        </w:rPr>
      </w:pPr>
      <w:proofErr w:type="spellStart"/>
      <w:r w:rsidRPr="004B6C5B">
        <w:rPr>
          <w:b/>
          <w:bCs/>
          <w:lang w:val="en-US"/>
        </w:rPr>
        <w:t>Abstrak</w:t>
      </w:r>
      <w:proofErr w:type="spellEnd"/>
    </w:p>
    <w:p w14:paraId="59D9304C" w14:textId="2E907042" w:rsidR="00247AB6" w:rsidRDefault="00247AB6" w:rsidP="00E77BFA">
      <w:pPr>
        <w:ind w:firstLine="567"/>
        <w:jc w:val="both"/>
        <w:rPr>
          <w:lang w:val="en"/>
        </w:rPr>
      </w:pPr>
      <w:r>
        <w:rPr>
          <w:lang w:val="en"/>
        </w:rPr>
        <w:t xml:space="preserve">The purpose of this study is to test and analyze the influence of enterprise risk management </w:t>
      </w:r>
      <w:proofErr w:type="gramStart"/>
      <w:r>
        <w:rPr>
          <w:i/>
          <w:lang w:val="en"/>
        </w:rPr>
        <w:t xml:space="preserve">disclosure </w:t>
      </w:r>
      <w:r>
        <w:rPr>
          <w:lang w:val="en"/>
        </w:rPr>
        <w:t xml:space="preserve"> and</w:t>
      </w:r>
      <w:proofErr w:type="gramEnd"/>
      <w:r>
        <w:rPr>
          <w:lang w:val="en"/>
        </w:rPr>
        <w:t xml:space="preserve">  </w:t>
      </w:r>
      <w:r>
        <w:rPr>
          <w:i/>
          <w:lang w:val="en"/>
        </w:rPr>
        <w:t xml:space="preserve">intellectual capital disclosure </w:t>
      </w:r>
      <w:r>
        <w:rPr>
          <w:lang w:val="en"/>
        </w:rPr>
        <w:t xml:space="preserve">on company values as well as independent board of commissioner variables in moderating the influence of  </w:t>
      </w:r>
      <w:r w:rsidRPr="0067532C">
        <w:rPr>
          <w:i/>
          <w:lang w:val="en"/>
        </w:rPr>
        <w:t>enterprise</w:t>
      </w:r>
      <w:r>
        <w:rPr>
          <w:lang w:val="en"/>
        </w:rPr>
        <w:t xml:space="preserve"> </w:t>
      </w:r>
      <w:r>
        <w:rPr>
          <w:i/>
          <w:lang w:val="en"/>
        </w:rPr>
        <w:t xml:space="preserve"> risk management disclosure </w:t>
      </w:r>
      <w:r>
        <w:rPr>
          <w:lang w:val="en"/>
        </w:rPr>
        <w:t xml:space="preserve"> and  </w:t>
      </w:r>
      <w:r>
        <w:rPr>
          <w:i/>
          <w:lang w:val="en"/>
        </w:rPr>
        <w:t xml:space="preserve">intellectual capital disclosure </w:t>
      </w:r>
      <w:r>
        <w:rPr>
          <w:lang w:val="en"/>
        </w:rPr>
        <w:t xml:space="preserve"> </w:t>
      </w:r>
      <w:r w:rsidRPr="0067532C">
        <w:rPr>
          <w:lang w:val="en"/>
        </w:rPr>
        <w:t>limited to</w:t>
      </w:r>
      <w:r>
        <w:rPr>
          <w:lang w:val="en"/>
        </w:rPr>
        <w:t xml:space="preserve">  company value. The data used in the research is sourced from secondary data, namely non-financial company data of basic and chemical sub-financial sub-industry. The sample screening method </w:t>
      </w:r>
      <w:proofErr w:type="gramStart"/>
      <w:r>
        <w:rPr>
          <w:lang w:val="en"/>
        </w:rPr>
        <w:t xml:space="preserve">uses  </w:t>
      </w:r>
      <w:r>
        <w:rPr>
          <w:i/>
          <w:lang w:val="en"/>
        </w:rPr>
        <w:t>purposive</w:t>
      </w:r>
      <w:proofErr w:type="gramEnd"/>
      <w:r>
        <w:rPr>
          <w:i/>
          <w:lang w:val="en"/>
        </w:rPr>
        <w:t xml:space="preserve"> sampling </w:t>
      </w:r>
      <w:r>
        <w:rPr>
          <w:lang w:val="en"/>
        </w:rPr>
        <w:t>method with a total of 61 companies and 4 years so that the data observed amounted to 244. The analysis tool used is Moderating Regression Analysis (MRA) by using SPSS version 21 as software to process data. The results showed that enterprise risk management disclosure has a significant effect on the value of the company while Intellectual capital disclosure has no significant effect on the value of the company and the independent board of commissioners is able to strengthen the influence of enterprise risk management disclosure and intellectual capital disclosure on the value of the company.</w:t>
      </w:r>
    </w:p>
    <w:p w14:paraId="2F321CC1" w14:textId="5F60048E" w:rsidR="00247AB6" w:rsidRPr="00726EDD" w:rsidRDefault="00247AB6" w:rsidP="00A6389C">
      <w:pPr>
        <w:jc w:val="both"/>
        <w:rPr>
          <w:lang w:val="en-US"/>
        </w:rPr>
      </w:pPr>
      <w:r>
        <w:rPr>
          <w:lang w:val="en"/>
        </w:rPr>
        <w:t>Keywords: enterprise risk management, intellectual capital, independent board of commissioners, co</w:t>
      </w:r>
      <w:r w:rsidR="003A53FB">
        <w:rPr>
          <w:lang w:val="en"/>
        </w:rPr>
        <w:t>mpany</w:t>
      </w:r>
      <w:r>
        <w:rPr>
          <w:lang w:val="en"/>
        </w:rPr>
        <w:t xml:space="preserve"> value</w:t>
      </w:r>
    </w:p>
    <w:p w14:paraId="328C0DE8" w14:textId="41FE5A44" w:rsidR="003A53FB" w:rsidRPr="00B8116E" w:rsidRDefault="003A53FB" w:rsidP="003A53FB">
      <w:pPr>
        <w:jc w:val="both"/>
        <w:rPr>
          <w:b/>
          <w:bCs/>
          <w:lang w:val="en-US"/>
        </w:rPr>
      </w:pPr>
    </w:p>
    <w:p w14:paraId="2D830AEF" w14:textId="77777777" w:rsidR="00773BC2" w:rsidRPr="00B8116E" w:rsidRDefault="00773BC2" w:rsidP="00B8116E">
      <w:pPr>
        <w:pStyle w:val="ListParagraph"/>
        <w:numPr>
          <w:ilvl w:val="0"/>
          <w:numId w:val="2"/>
        </w:numPr>
        <w:ind w:left="426" w:hanging="426"/>
        <w:jc w:val="both"/>
        <w:rPr>
          <w:b/>
          <w:bCs/>
          <w:lang w:val="en-US"/>
        </w:rPr>
      </w:pPr>
      <w:r w:rsidRPr="00B8116E">
        <w:rPr>
          <w:b/>
          <w:bCs/>
          <w:lang w:val="en"/>
        </w:rPr>
        <w:t>Introduction</w:t>
      </w:r>
    </w:p>
    <w:p w14:paraId="17473164" w14:textId="77777777" w:rsidR="00773BC2" w:rsidRDefault="00773BC2" w:rsidP="0098622F">
      <w:pPr>
        <w:pStyle w:val="ListParagraph"/>
        <w:ind w:left="0" w:firstLine="567"/>
        <w:jc w:val="both"/>
      </w:pPr>
      <w:r>
        <w:rPr>
          <w:lang w:val="en"/>
        </w:rPr>
        <w:t>The company's main goal is to improve the well-being of shareholders by maximizing the value of the company (</w:t>
      </w:r>
      <w:proofErr w:type="spellStart"/>
      <w:r>
        <w:rPr>
          <w:lang w:val="en"/>
        </w:rPr>
        <w:t>Renalita</w:t>
      </w:r>
      <w:proofErr w:type="spellEnd"/>
      <w:r>
        <w:rPr>
          <w:lang w:val="en"/>
        </w:rPr>
        <w:t xml:space="preserve"> and </w:t>
      </w:r>
      <w:proofErr w:type="spellStart"/>
      <w:r>
        <w:rPr>
          <w:lang w:val="en"/>
        </w:rPr>
        <w:t>Wahyudi</w:t>
      </w:r>
      <w:proofErr w:type="spellEnd"/>
      <w:r>
        <w:rPr>
          <w:lang w:val="en"/>
        </w:rPr>
        <w:t>, 2019). The value of the company is one of the factors that investors and potential investors need to know as a consideration to take an investment decision, because the value of the company has the ability to explain the company's achievements and has a fairly close relationship with the capital market (</w:t>
      </w:r>
      <w:proofErr w:type="spellStart"/>
      <w:r>
        <w:rPr>
          <w:lang w:val="en"/>
        </w:rPr>
        <w:t>Suryani</w:t>
      </w:r>
      <w:proofErr w:type="spellEnd"/>
      <w:r>
        <w:rPr>
          <w:lang w:val="en"/>
        </w:rPr>
        <w:t>, 2017). Financial statements are one of the tools that can be used by investors to find out about the value of the company.  Financial statements become a medium for companies in revealing what the company has done and what the company has achieved. Now, many companies in the world are required to provide accountability reports to stakeholders.</w:t>
      </w:r>
    </w:p>
    <w:p w14:paraId="096C3298" w14:textId="77777777" w:rsidR="00773BC2" w:rsidRPr="003A53FB" w:rsidRDefault="00773BC2" w:rsidP="005B2CFA">
      <w:pPr>
        <w:pStyle w:val="Default"/>
        <w:ind w:firstLine="567"/>
        <w:jc w:val="both"/>
        <w:rPr>
          <w:lang w:val="en-US"/>
        </w:rPr>
      </w:pPr>
      <w:r w:rsidRPr="00C22448">
        <w:rPr>
          <w:lang w:val="en"/>
        </w:rPr>
        <w:t xml:space="preserve">According to Devi et. Al. (2016) Investors should think about non-financial information not only pay attention to financial information in making investments. Disclosure of non-financial information is also considered important in consideration of investment decisions (Anisa et al. 2012). There are several factors that can affect the value of the company, namely </w:t>
      </w:r>
      <w:r w:rsidRPr="00C22448">
        <w:rPr>
          <w:i/>
          <w:iCs/>
          <w:lang w:val="en"/>
        </w:rPr>
        <w:t xml:space="preserve">enterprise risk management </w:t>
      </w:r>
      <w:proofErr w:type="gramStart"/>
      <w:r w:rsidRPr="00C22448">
        <w:rPr>
          <w:i/>
          <w:iCs/>
          <w:lang w:val="en"/>
        </w:rPr>
        <w:t xml:space="preserve">disclosure </w:t>
      </w:r>
      <w:r>
        <w:rPr>
          <w:lang w:val="en"/>
        </w:rPr>
        <w:t xml:space="preserve"> </w:t>
      </w:r>
      <w:r w:rsidRPr="00C22448">
        <w:rPr>
          <w:lang w:val="en"/>
        </w:rPr>
        <w:t>and</w:t>
      </w:r>
      <w:proofErr w:type="gramEnd"/>
      <w:r w:rsidRPr="00C22448">
        <w:rPr>
          <w:lang w:val="en"/>
        </w:rPr>
        <w:t xml:space="preserve"> </w:t>
      </w:r>
      <w:r>
        <w:rPr>
          <w:lang w:val="en"/>
        </w:rPr>
        <w:t xml:space="preserve">intellectual </w:t>
      </w:r>
      <w:r w:rsidRPr="00C22448">
        <w:rPr>
          <w:i/>
          <w:iCs/>
          <w:lang w:val="en"/>
        </w:rPr>
        <w:t>capital disclosure.</w:t>
      </w:r>
      <w:r>
        <w:rPr>
          <w:lang w:val="en"/>
        </w:rPr>
        <w:t xml:space="preserve"> </w:t>
      </w:r>
      <w:r w:rsidRPr="003A53FB">
        <w:rPr>
          <w:lang w:val="en"/>
        </w:rPr>
        <w:t>According to Hoyt and Liebenberg (2011</w:t>
      </w:r>
      <w:proofErr w:type="gramStart"/>
      <w:r w:rsidRPr="003A53FB">
        <w:rPr>
          <w:lang w:val="en"/>
        </w:rPr>
        <w:t xml:space="preserve">) </w:t>
      </w:r>
      <w:r>
        <w:rPr>
          <w:lang w:val="en"/>
        </w:rPr>
        <w:t xml:space="preserve"> </w:t>
      </w:r>
      <w:r w:rsidRPr="003A53FB">
        <w:rPr>
          <w:i/>
          <w:iCs/>
          <w:lang w:val="en"/>
        </w:rPr>
        <w:t>Enterprise</w:t>
      </w:r>
      <w:proofErr w:type="gramEnd"/>
      <w:r w:rsidRPr="003A53FB">
        <w:rPr>
          <w:i/>
          <w:iCs/>
          <w:lang w:val="en"/>
        </w:rPr>
        <w:t xml:space="preserve"> risk management disclosure </w:t>
      </w:r>
      <w:r>
        <w:rPr>
          <w:lang w:val="en"/>
        </w:rPr>
        <w:t xml:space="preserve">is a disclosure in the form of risk management information carried out by the company and </w:t>
      </w:r>
      <w:r w:rsidRPr="003A53FB">
        <w:rPr>
          <w:lang w:val="en"/>
        </w:rPr>
        <w:t>reveals its future impact on a company's value. The company strives to minimize the risk of any business decisions taken. Good management and disclosure of risks to the public in addition to reducing the level of risk and uncertainty faced by investors also helps in controlling management activities. Information that is needed by investors is information about the company's risk profile and the management of those risks (</w:t>
      </w:r>
      <w:proofErr w:type="spellStart"/>
      <w:r w:rsidRPr="003A53FB">
        <w:rPr>
          <w:lang w:val="en"/>
        </w:rPr>
        <w:t>Handayani</w:t>
      </w:r>
      <w:proofErr w:type="spellEnd"/>
      <w:r w:rsidRPr="003A53FB">
        <w:rPr>
          <w:lang w:val="en"/>
        </w:rPr>
        <w:t>, 2017).</w:t>
      </w:r>
    </w:p>
    <w:p w14:paraId="1AA26695" w14:textId="77777777" w:rsidR="00773BC2" w:rsidRDefault="00773BC2" w:rsidP="00C56936">
      <w:pPr>
        <w:pStyle w:val="ListParagraph"/>
        <w:ind w:left="0" w:firstLine="567"/>
        <w:jc w:val="both"/>
      </w:pPr>
      <w:r w:rsidRPr="003A53FB">
        <w:rPr>
          <w:i/>
          <w:iCs/>
          <w:lang w:val="en"/>
        </w:rPr>
        <w:t>Intellectual Capital</w:t>
      </w:r>
      <w:r>
        <w:rPr>
          <w:lang w:val="en"/>
        </w:rPr>
        <w:t xml:space="preserve"> (IC) is a part of intangible assets consisting of three main components of the organization, namely human </w:t>
      </w:r>
      <w:proofErr w:type="gramStart"/>
      <w:r>
        <w:rPr>
          <w:lang w:val="en"/>
        </w:rPr>
        <w:t>capital,  organizational</w:t>
      </w:r>
      <w:proofErr w:type="gramEnd"/>
      <w:r>
        <w:rPr>
          <w:lang w:val="en"/>
        </w:rPr>
        <w:t xml:space="preserve">  </w:t>
      </w:r>
      <w:proofErr w:type="spellStart"/>
      <w:r w:rsidRPr="003A53FB">
        <w:rPr>
          <w:i/>
          <w:iCs/>
          <w:lang w:val="en"/>
        </w:rPr>
        <w:t>capital,</w:t>
      </w:r>
      <w:r>
        <w:rPr>
          <w:lang w:val="en"/>
        </w:rPr>
        <w:t>and</w:t>
      </w:r>
      <w:proofErr w:type="spellEnd"/>
      <w:r>
        <w:rPr>
          <w:lang w:val="en"/>
        </w:rPr>
        <w:t xml:space="preserve"> customer capital   </w:t>
      </w:r>
      <w:r w:rsidRPr="003A53FB">
        <w:rPr>
          <w:i/>
          <w:iCs/>
          <w:lang w:val="en"/>
        </w:rPr>
        <w:t>(relational</w:t>
      </w:r>
      <w:r>
        <w:rPr>
          <w:lang w:val="en"/>
        </w:rPr>
        <w:t xml:space="preserve">  capital).  The value of the company is no longer measured through the management </w:t>
      </w:r>
      <w:r>
        <w:rPr>
          <w:lang w:val="en"/>
        </w:rPr>
        <w:lastRenderedPageBreak/>
        <w:t>of tangible assets but begins to shift on the management of intangible assets (</w:t>
      </w:r>
      <w:proofErr w:type="spellStart"/>
      <w:r>
        <w:rPr>
          <w:lang w:val="en"/>
        </w:rPr>
        <w:t>Chayati</w:t>
      </w:r>
      <w:proofErr w:type="spellEnd"/>
      <w:r>
        <w:rPr>
          <w:lang w:val="en"/>
        </w:rPr>
        <w:t xml:space="preserve"> and </w:t>
      </w:r>
      <w:proofErr w:type="spellStart"/>
      <w:r>
        <w:rPr>
          <w:lang w:val="en"/>
        </w:rPr>
        <w:t>Kurniasih</w:t>
      </w:r>
      <w:proofErr w:type="spellEnd"/>
      <w:r>
        <w:rPr>
          <w:lang w:val="en"/>
        </w:rPr>
        <w:t>, 2014). Recognition of intellectual capital owned by the company is now increasingly reported in the company's efforts to increase the value of the company (</w:t>
      </w:r>
      <w:proofErr w:type="spellStart"/>
      <w:r>
        <w:rPr>
          <w:lang w:val="en"/>
        </w:rPr>
        <w:t>Chayati</w:t>
      </w:r>
      <w:proofErr w:type="spellEnd"/>
      <w:r>
        <w:rPr>
          <w:lang w:val="en"/>
        </w:rPr>
        <w:t xml:space="preserve"> and </w:t>
      </w:r>
      <w:proofErr w:type="spellStart"/>
      <w:r>
        <w:rPr>
          <w:lang w:val="en"/>
        </w:rPr>
        <w:t>Kurniasih</w:t>
      </w:r>
      <w:proofErr w:type="spellEnd"/>
      <w:r>
        <w:rPr>
          <w:lang w:val="en"/>
        </w:rPr>
        <w:t xml:space="preserve">, 2014). </w:t>
      </w:r>
      <w:proofErr w:type="gramStart"/>
      <w:r>
        <w:rPr>
          <w:lang w:val="en"/>
        </w:rPr>
        <w:t xml:space="preserve">Assessing  </w:t>
      </w:r>
      <w:r w:rsidRPr="003A53FB">
        <w:rPr>
          <w:i/>
          <w:iCs/>
          <w:lang w:val="en"/>
        </w:rPr>
        <w:t>intellectual</w:t>
      </w:r>
      <w:proofErr w:type="gramEnd"/>
      <w:r w:rsidRPr="003A53FB">
        <w:rPr>
          <w:i/>
          <w:iCs/>
          <w:lang w:val="en"/>
        </w:rPr>
        <w:t xml:space="preserve"> capital</w:t>
      </w:r>
      <w:r>
        <w:rPr>
          <w:lang w:val="en"/>
        </w:rPr>
        <w:t xml:space="preserve"> that is not seen in financial statements can be used as a measure of efficiency in creating corporate value. </w:t>
      </w:r>
      <w:r w:rsidRPr="00773BC2">
        <w:rPr>
          <w:i/>
          <w:iCs/>
          <w:lang w:val="en"/>
        </w:rPr>
        <w:t xml:space="preserve">The intellectual </w:t>
      </w:r>
      <w:proofErr w:type="gramStart"/>
      <w:r w:rsidRPr="00773BC2">
        <w:rPr>
          <w:i/>
          <w:iCs/>
          <w:lang w:val="en"/>
        </w:rPr>
        <w:t>capital</w:t>
      </w:r>
      <w:r>
        <w:rPr>
          <w:lang w:val="en"/>
        </w:rPr>
        <w:t xml:space="preserve">  of</w:t>
      </w:r>
      <w:proofErr w:type="gramEnd"/>
      <w:r>
        <w:rPr>
          <w:lang w:val="en"/>
        </w:rPr>
        <w:t xml:space="preserve"> a company plays an important role in the modern approach to value creation.</w:t>
      </w:r>
    </w:p>
    <w:p w14:paraId="15268364" w14:textId="77777777" w:rsidR="00912A6B" w:rsidRDefault="00912A6B" w:rsidP="00D4206C">
      <w:pPr>
        <w:pStyle w:val="ListParagraph"/>
        <w:ind w:left="0" w:firstLine="567"/>
        <w:jc w:val="both"/>
      </w:pPr>
      <w:r w:rsidRPr="003A53FB">
        <w:rPr>
          <w:sz w:val="22"/>
          <w:lang w:val="en"/>
        </w:rPr>
        <w:t xml:space="preserve">Enterprise </w:t>
      </w:r>
      <w:r w:rsidRPr="003A53FB">
        <w:rPr>
          <w:i/>
          <w:iCs/>
          <w:sz w:val="22"/>
          <w:lang w:val="en"/>
        </w:rPr>
        <w:t xml:space="preserve">risk management </w:t>
      </w:r>
      <w:r>
        <w:rPr>
          <w:lang w:val="en"/>
        </w:rPr>
        <w:t xml:space="preserve">disclosure and intellectual </w:t>
      </w:r>
      <w:r w:rsidRPr="003A53FB">
        <w:rPr>
          <w:i/>
          <w:iCs/>
          <w:sz w:val="22"/>
          <w:lang w:val="en"/>
        </w:rPr>
        <w:t xml:space="preserve">capital </w:t>
      </w:r>
      <w:r>
        <w:rPr>
          <w:lang w:val="en"/>
        </w:rPr>
        <w:t xml:space="preserve"> </w:t>
      </w:r>
      <w:r w:rsidRPr="003A53FB">
        <w:rPr>
          <w:sz w:val="22"/>
          <w:lang w:val="en"/>
        </w:rPr>
        <w:t xml:space="preserve">disclosure </w:t>
      </w:r>
      <w:r>
        <w:rPr>
          <w:lang w:val="en"/>
        </w:rPr>
        <w:t xml:space="preserve">are predicted to affect </w:t>
      </w:r>
      <w:r w:rsidRPr="003A53FB">
        <w:rPr>
          <w:sz w:val="22"/>
          <w:lang w:val="en"/>
        </w:rPr>
        <w:t xml:space="preserve">a company's value because both types of information indicate that the company has used a comprehensive approach in managing the company's risk thoroughly, improving the company's ability to manage uncertainty, minimizing threats, maximizing opportunities, and also indicating that the company is in a comprehensive manner. </w:t>
      </w:r>
      <w:proofErr w:type="spellStart"/>
      <w:r w:rsidRPr="003A53FB">
        <w:rPr>
          <w:sz w:val="22"/>
          <w:lang w:val="en"/>
        </w:rPr>
        <w:t>Liki</w:t>
      </w:r>
      <w:proofErr w:type="spellEnd"/>
      <w:r w:rsidRPr="003A53FB">
        <w:rPr>
          <w:sz w:val="22"/>
          <w:lang w:val="en"/>
        </w:rPr>
        <w:t xml:space="preserve"> advantage competes.</w:t>
      </w:r>
    </w:p>
    <w:p w14:paraId="018B5199" w14:textId="77777777" w:rsidR="00912A6B" w:rsidRDefault="00912A6B" w:rsidP="00D4206C">
      <w:pPr>
        <w:pStyle w:val="ListParagraph"/>
        <w:ind w:left="0" w:firstLine="567"/>
        <w:jc w:val="both"/>
      </w:pPr>
      <w:r w:rsidRPr="003A53FB">
        <w:rPr>
          <w:sz w:val="22"/>
          <w:lang w:val="en"/>
        </w:rPr>
        <w:t xml:space="preserve">Various previous studies have been conducted to examine the influence of corporate risk management on the value of the company, I Dewa </w:t>
      </w:r>
      <w:proofErr w:type="spellStart"/>
      <w:r w:rsidRPr="003A53FB">
        <w:rPr>
          <w:sz w:val="22"/>
          <w:lang w:val="en"/>
        </w:rPr>
        <w:t>Nyoman</w:t>
      </w:r>
      <w:proofErr w:type="spellEnd"/>
      <w:r w:rsidRPr="003A53FB">
        <w:rPr>
          <w:sz w:val="22"/>
          <w:lang w:val="en"/>
        </w:rPr>
        <w:t xml:space="preserve"> (2016) who conducted research on </w:t>
      </w:r>
      <w:r w:rsidRPr="003A53FB">
        <w:rPr>
          <w:i/>
          <w:iCs/>
          <w:sz w:val="22"/>
          <w:lang w:val="en"/>
        </w:rPr>
        <w:t xml:space="preserve">enterprise risk management disclosure </w:t>
      </w:r>
      <w:r>
        <w:rPr>
          <w:lang w:val="en"/>
        </w:rPr>
        <w:t xml:space="preserve">proved a positive and significant correlation between information on the application </w:t>
      </w:r>
      <w:r w:rsidRPr="003A53FB">
        <w:rPr>
          <w:sz w:val="22"/>
          <w:lang w:val="en"/>
        </w:rPr>
        <w:t xml:space="preserve">of </w:t>
      </w:r>
      <w:r>
        <w:rPr>
          <w:lang w:val="en"/>
        </w:rPr>
        <w:t xml:space="preserve">enterprise risk </w:t>
      </w:r>
      <w:r w:rsidRPr="003A53FB">
        <w:rPr>
          <w:i/>
          <w:iCs/>
          <w:sz w:val="22"/>
          <w:lang w:val="en"/>
        </w:rPr>
        <w:t xml:space="preserve">management disclosure </w:t>
      </w:r>
      <w:r>
        <w:rPr>
          <w:lang w:val="en"/>
        </w:rPr>
        <w:t xml:space="preserve">in a company and </w:t>
      </w:r>
      <w:r w:rsidRPr="003A53FB">
        <w:rPr>
          <w:sz w:val="22"/>
          <w:lang w:val="en"/>
        </w:rPr>
        <w:t xml:space="preserve">company value. In contrast, the research of </w:t>
      </w:r>
      <w:proofErr w:type="spellStart"/>
      <w:r w:rsidRPr="003A53FB">
        <w:rPr>
          <w:sz w:val="22"/>
          <w:lang w:val="en"/>
        </w:rPr>
        <w:t>Achmad</w:t>
      </w:r>
      <w:proofErr w:type="spellEnd"/>
      <w:r w:rsidRPr="003A53FB">
        <w:rPr>
          <w:sz w:val="22"/>
          <w:lang w:val="en"/>
        </w:rPr>
        <w:t xml:space="preserve"> </w:t>
      </w:r>
      <w:proofErr w:type="spellStart"/>
      <w:r w:rsidRPr="003A53FB">
        <w:rPr>
          <w:sz w:val="22"/>
          <w:lang w:val="en"/>
        </w:rPr>
        <w:t>Sidiq</w:t>
      </w:r>
      <w:proofErr w:type="spellEnd"/>
      <w:r w:rsidRPr="003A53FB">
        <w:rPr>
          <w:sz w:val="22"/>
          <w:lang w:val="en"/>
        </w:rPr>
        <w:t xml:space="preserve"> </w:t>
      </w:r>
      <w:proofErr w:type="spellStart"/>
      <w:r w:rsidRPr="003A53FB">
        <w:rPr>
          <w:sz w:val="22"/>
          <w:lang w:val="en"/>
        </w:rPr>
        <w:t>Pamungkas</w:t>
      </w:r>
      <w:proofErr w:type="spellEnd"/>
      <w:r w:rsidRPr="003A53FB">
        <w:rPr>
          <w:sz w:val="22"/>
          <w:lang w:val="en"/>
        </w:rPr>
        <w:t xml:space="preserve"> &amp; Sri </w:t>
      </w:r>
      <w:proofErr w:type="spellStart"/>
      <w:r w:rsidRPr="003A53FB">
        <w:rPr>
          <w:sz w:val="22"/>
          <w:lang w:val="en"/>
        </w:rPr>
        <w:t>Maryati</w:t>
      </w:r>
      <w:proofErr w:type="spellEnd"/>
      <w:r w:rsidRPr="003A53FB">
        <w:rPr>
          <w:sz w:val="22"/>
          <w:lang w:val="en"/>
        </w:rPr>
        <w:t xml:space="preserve"> (2017) states </w:t>
      </w:r>
      <w:proofErr w:type="gramStart"/>
      <w:r w:rsidRPr="003A53FB">
        <w:rPr>
          <w:sz w:val="22"/>
          <w:lang w:val="en"/>
        </w:rPr>
        <w:t xml:space="preserve">that </w:t>
      </w:r>
      <w:r>
        <w:rPr>
          <w:lang w:val="en"/>
        </w:rPr>
        <w:t xml:space="preserve"> </w:t>
      </w:r>
      <w:r w:rsidRPr="003A53FB">
        <w:rPr>
          <w:i/>
          <w:iCs/>
          <w:sz w:val="22"/>
          <w:lang w:val="en"/>
        </w:rPr>
        <w:t>enterprise</w:t>
      </w:r>
      <w:proofErr w:type="gramEnd"/>
      <w:r w:rsidRPr="003A53FB">
        <w:rPr>
          <w:i/>
          <w:iCs/>
          <w:sz w:val="22"/>
          <w:lang w:val="en"/>
        </w:rPr>
        <w:t xml:space="preserve"> risk management disclosure </w:t>
      </w:r>
      <w:r>
        <w:rPr>
          <w:lang w:val="en"/>
        </w:rPr>
        <w:t xml:space="preserve">has no effect on the value of the </w:t>
      </w:r>
      <w:r w:rsidRPr="003A53FB">
        <w:rPr>
          <w:sz w:val="22"/>
          <w:lang w:val="en"/>
        </w:rPr>
        <w:t>company.</w:t>
      </w:r>
      <w:r>
        <w:rPr>
          <w:lang w:val="en"/>
        </w:rPr>
        <w:t xml:space="preserve"> </w:t>
      </w:r>
      <w:proofErr w:type="spellStart"/>
      <w:proofErr w:type="gramStart"/>
      <w:r>
        <w:rPr>
          <w:sz w:val="22"/>
          <w:lang w:val="en"/>
        </w:rPr>
        <w:t>Research</w:t>
      </w:r>
      <w:r>
        <w:rPr>
          <w:lang w:val="en"/>
        </w:rPr>
        <w:t>on</w:t>
      </w:r>
      <w:proofErr w:type="spellEnd"/>
      <w:r>
        <w:rPr>
          <w:lang w:val="en"/>
        </w:rPr>
        <w:t xml:space="preserve">  </w:t>
      </w:r>
      <w:r w:rsidRPr="00773BC2">
        <w:rPr>
          <w:i/>
          <w:iCs/>
          <w:lang w:val="en"/>
        </w:rPr>
        <w:t>intellectual</w:t>
      </w:r>
      <w:proofErr w:type="gramEnd"/>
      <w:r w:rsidRPr="00773BC2">
        <w:rPr>
          <w:i/>
          <w:iCs/>
          <w:lang w:val="en"/>
        </w:rPr>
        <w:t xml:space="preserve"> capital</w:t>
      </w:r>
      <w:r>
        <w:rPr>
          <w:lang w:val="en"/>
        </w:rPr>
        <w:t xml:space="preserve"> in Indonesia has been done by several researchers, including </w:t>
      </w:r>
      <w:proofErr w:type="spellStart"/>
      <w:r>
        <w:rPr>
          <w:lang w:val="en"/>
        </w:rPr>
        <w:t>Chayati</w:t>
      </w:r>
      <w:proofErr w:type="spellEnd"/>
      <w:r>
        <w:rPr>
          <w:lang w:val="en"/>
        </w:rPr>
        <w:t xml:space="preserve"> and </w:t>
      </w:r>
      <w:proofErr w:type="spellStart"/>
      <w:r>
        <w:rPr>
          <w:lang w:val="en"/>
        </w:rPr>
        <w:t>Kurniasih</w:t>
      </w:r>
      <w:proofErr w:type="spellEnd"/>
      <w:r>
        <w:rPr>
          <w:lang w:val="en"/>
        </w:rPr>
        <w:t xml:space="preserve"> (2014), Putra (2012) and </w:t>
      </w:r>
      <w:proofErr w:type="spellStart"/>
      <w:r>
        <w:rPr>
          <w:lang w:val="en"/>
        </w:rPr>
        <w:t>Juwita</w:t>
      </w:r>
      <w:proofErr w:type="spellEnd"/>
      <w:r>
        <w:rPr>
          <w:lang w:val="en"/>
        </w:rPr>
        <w:t xml:space="preserve"> and Angela (2016) who managed to prove that intellectual </w:t>
      </w:r>
      <w:r w:rsidRPr="00773BC2">
        <w:rPr>
          <w:i/>
          <w:iCs/>
          <w:lang w:val="en"/>
        </w:rPr>
        <w:t>capital</w:t>
      </w:r>
      <w:r>
        <w:rPr>
          <w:lang w:val="en"/>
        </w:rPr>
        <w:t xml:space="preserve"> affects the value of the company. The results of different studies conducted by </w:t>
      </w:r>
      <w:proofErr w:type="spellStart"/>
      <w:r>
        <w:rPr>
          <w:lang w:val="en"/>
        </w:rPr>
        <w:t>Solikhah</w:t>
      </w:r>
      <w:proofErr w:type="spellEnd"/>
      <w:r>
        <w:rPr>
          <w:lang w:val="en"/>
        </w:rPr>
        <w:t xml:space="preserve"> et al. (2010) and </w:t>
      </w:r>
      <w:proofErr w:type="spellStart"/>
      <w:r>
        <w:rPr>
          <w:lang w:val="en"/>
        </w:rPr>
        <w:t>Hadiwijaya</w:t>
      </w:r>
      <w:proofErr w:type="spellEnd"/>
      <w:r>
        <w:rPr>
          <w:lang w:val="en"/>
        </w:rPr>
        <w:t xml:space="preserve"> and </w:t>
      </w:r>
      <w:proofErr w:type="spellStart"/>
      <w:r>
        <w:rPr>
          <w:lang w:val="en"/>
        </w:rPr>
        <w:t>Rohman</w:t>
      </w:r>
      <w:proofErr w:type="spellEnd"/>
      <w:r>
        <w:rPr>
          <w:lang w:val="en"/>
        </w:rPr>
        <w:t xml:space="preserve"> (2013) that did not succeed showed a significant influence on </w:t>
      </w:r>
      <w:r w:rsidRPr="00773BC2">
        <w:rPr>
          <w:i/>
          <w:iCs/>
          <w:lang w:val="en"/>
        </w:rPr>
        <w:t>intellectual capital</w:t>
      </w:r>
      <w:r>
        <w:rPr>
          <w:lang w:val="en"/>
        </w:rPr>
        <w:t xml:space="preserve"> on the value of the company.</w:t>
      </w:r>
    </w:p>
    <w:p w14:paraId="765CF237" w14:textId="1BC74507" w:rsidR="00912A6B" w:rsidRDefault="00912A6B" w:rsidP="008D6888">
      <w:pPr>
        <w:pStyle w:val="ListParagraph"/>
        <w:ind w:left="0" w:firstLine="567"/>
        <w:jc w:val="both"/>
        <w:rPr>
          <w:lang w:val="en"/>
        </w:rPr>
      </w:pPr>
      <w:r>
        <w:rPr>
          <w:lang w:val="en"/>
        </w:rPr>
        <w:t xml:space="preserve">In increasing the value of a company, a company needs to implement an adequate governance system. To get good management, the company must implement </w:t>
      </w:r>
      <w:r w:rsidRPr="003A53FB">
        <w:rPr>
          <w:i/>
          <w:iCs/>
          <w:lang w:val="en"/>
        </w:rPr>
        <w:t xml:space="preserve">Good Corporate </w:t>
      </w:r>
      <w:proofErr w:type="gramStart"/>
      <w:r w:rsidRPr="003A53FB">
        <w:rPr>
          <w:i/>
          <w:iCs/>
          <w:lang w:val="en"/>
        </w:rPr>
        <w:t>Governance</w:t>
      </w:r>
      <w:r>
        <w:rPr>
          <w:lang w:val="en"/>
        </w:rPr>
        <w:t xml:space="preserve"> </w:t>
      </w:r>
      <w:r w:rsidRPr="00D24570">
        <w:rPr>
          <w:lang w:val="en"/>
        </w:rPr>
        <w:t xml:space="preserve"> (</w:t>
      </w:r>
      <w:proofErr w:type="gramEnd"/>
      <w:r w:rsidRPr="00D24570">
        <w:rPr>
          <w:lang w:val="en"/>
        </w:rPr>
        <w:t xml:space="preserve">GCG). Good company management (GCG) can increase profits and can reduce the level of risk of company losses in the future, which further certainly has an impact on increasing the value of the company. </w:t>
      </w:r>
      <w:proofErr w:type="spellStart"/>
      <w:r w:rsidRPr="00D24570">
        <w:rPr>
          <w:lang w:val="en"/>
        </w:rPr>
        <w:t>Obradovich</w:t>
      </w:r>
      <w:proofErr w:type="spellEnd"/>
      <w:r w:rsidRPr="00D24570">
        <w:rPr>
          <w:lang w:val="en"/>
        </w:rPr>
        <w:t xml:space="preserve"> &amp; Gill's research (2013) examined the influence </w:t>
      </w:r>
      <w:proofErr w:type="gramStart"/>
      <w:r w:rsidRPr="00D24570">
        <w:rPr>
          <w:lang w:val="en"/>
        </w:rPr>
        <w:t xml:space="preserve">of </w:t>
      </w:r>
      <w:r>
        <w:rPr>
          <w:lang w:val="en"/>
        </w:rPr>
        <w:t xml:space="preserve"> </w:t>
      </w:r>
      <w:r w:rsidRPr="003A53FB">
        <w:rPr>
          <w:i/>
          <w:iCs/>
          <w:lang w:val="en"/>
        </w:rPr>
        <w:t>corporate</w:t>
      </w:r>
      <w:proofErr w:type="gramEnd"/>
      <w:r w:rsidRPr="003A53FB">
        <w:rPr>
          <w:i/>
          <w:iCs/>
          <w:lang w:val="en"/>
        </w:rPr>
        <w:t xml:space="preserve"> governance</w:t>
      </w:r>
      <w:r>
        <w:rPr>
          <w:lang w:val="en"/>
        </w:rPr>
        <w:t xml:space="preserve">  and  </w:t>
      </w:r>
      <w:r w:rsidRPr="003A53FB">
        <w:rPr>
          <w:i/>
          <w:iCs/>
          <w:lang w:val="en"/>
        </w:rPr>
        <w:t>financial leverage</w:t>
      </w:r>
      <w:r>
        <w:rPr>
          <w:lang w:val="en"/>
        </w:rPr>
        <w:t xml:space="preserve"> on the value of American companies. The results showed a significant influence. According to Devi et. Al. (2016) Investors should think about non-financial information not only pay attention to financial information in making investments. Disclosure of non-financial information is also considered important in consideration of investment decisions (Anisa et al. 2012). This study </w:t>
      </w:r>
      <w:proofErr w:type="gramStart"/>
      <w:r>
        <w:rPr>
          <w:lang w:val="en"/>
        </w:rPr>
        <w:t xml:space="preserve">used  </w:t>
      </w:r>
      <w:r>
        <w:rPr>
          <w:i/>
          <w:lang w:val="en"/>
        </w:rPr>
        <w:t>good</w:t>
      </w:r>
      <w:proofErr w:type="gramEnd"/>
      <w:r>
        <w:rPr>
          <w:i/>
          <w:lang w:val="en"/>
        </w:rPr>
        <w:t xml:space="preserve"> corporate </w:t>
      </w:r>
      <w:proofErr w:type="spellStart"/>
      <w:r>
        <w:rPr>
          <w:i/>
          <w:lang w:val="en"/>
        </w:rPr>
        <w:t>governabce</w:t>
      </w:r>
      <w:proofErr w:type="spellEnd"/>
      <w:r>
        <w:rPr>
          <w:i/>
          <w:lang w:val="en"/>
        </w:rPr>
        <w:t xml:space="preserve"> </w:t>
      </w:r>
      <w:r>
        <w:rPr>
          <w:lang w:val="en"/>
        </w:rPr>
        <w:t xml:space="preserve"> with </w:t>
      </w:r>
      <w:proofErr w:type="spellStart"/>
      <w:r>
        <w:rPr>
          <w:lang w:val="en"/>
        </w:rPr>
        <w:t>proxi</w:t>
      </w:r>
      <w:proofErr w:type="spellEnd"/>
      <w:r>
        <w:rPr>
          <w:lang w:val="en"/>
        </w:rPr>
        <w:t xml:space="preserve"> independent board of commissioners as variable moderation. Research conducted by </w:t>
      </w:r>
      <w:proofErr w:type="spellStart"/>
      <w:r>
        <w:rPr>
          <w:lang w:val="en"/>
        </w:rPr>
        <w:t>Octaviany</w:t>
      </w:r>
      <w:proofErr w:type="spellEnd"/>
      <w:r>
        <w:rPr>
          <w:lang w:val="en"/>
        </w:rPr>
        <w:t xml:space="preserve"> G. (2015) states that GCG is not able to moderate the relationship between Intellectual </w:t>
      </w:r>
      <w:r w:rsidRPr="003A53FB">
        <w:rPr>
          <w:i/>
          <w:iCs/>
          <w:lang w:val="en"/>
        </w:rPr>
        <w:t>Capital</w:t>
      </w:r>
      <w:r>
        <w:rPr>
          <w:lang w:val="en"/>
        </w:rPr>
        <w:t xml:space="preserve"> and corporate values. But in contrast to </w:t>
      </w:r>
      <w:proofErr w:type="spellStart"/>
      <w:r>
        <w:rPr>
          <w:lang w:val="en"/>
        </w:rPr>
        <w:t>Ponga</w:t>
      </w:r>
      <w:proofErr w:type="spellEnd"/>
      <w:r>
        <w:rPr>
          <w:lang w:val="en"/>
        </w:rPr>
        <w:t xml:space="preserve"> and </w:t>
      </w:r>
      <w:proofErr w:type="spellStart"/>
      <w:r>
        <w:rPr>
          <w:lang w:val="en"/>
        </w:rPr>
        <w:t>Amanah</w:t>
      </w:r>
      <w:proofErr w:type="spellEnd"/>
      <w:r>
        <w:rPr>
          <w:lang w:val="en"/>
        </w:rPr>
        <w:t xml:space="preserve"> (2015), GCG is able to moderate the relationship between Intellectual </w:t>
      </w:r>
      <w:r w:rsidRPr="003A53FB">
        <w:rPr>
          <w:i/>
          <w:iCs/>
          <w:lang w:val="en"/>
        </w:rPr>
        <w:t>Capital</w:t>
      </w:r>
      <w:r>
        <w:rPr>
          <w:lang w:val="en"/>
        </w:rPr>
        <w:t xml:space="preserve"> to the value of the company.  </w:t>
      </w:r>
    </w:p>
    <w:p w14:paraId="4BB0F1F9" w14:textId="62431040" w:rsidR="00B808B8" w:rsidRDefault="00B808B8" w:rsidP="00B808B8">
      <w:pPr>
        <w:jc w:val="both"/>
      </w:pPr>
    </w:p>
    <w:p w14:paraId="443DFBEA" w14:textId="69195DEC" w:rsidR="00F346C4" w:rsidRPr="004B6C5B" w:rsidRDefault="00F346C4" w:rsidP="004B6C5B">
      <w:pPr>
        <w:pStyle w:val="ListParagraph"/>
        <w:numPr>
          <w:ilvl w:val="0"/>
          <w:numId w:val="2"/>
        </w:numPr>
        <w:tabs>
          <w:tab w:val="clear" w:pos="720"/>
        </w:tabs>
        <w:ind w:left="426" w:hanging="426"/>
        <w:jc w:val="both"/>
        <w:rPr>
          <w:b/>
          <w:bCs/>
          <w:lang w:val="en-US"/>
        </w:rPr>
      </w:pPr>
      <w:r w:rsidRPr="004B6C5B">
        <w:rPr>
          <w:b/>
          <w:bCs/>
          <w:lang w:val="en"/>
        </w:rPr>
        <w:t>Library Review</w:t>
      </w:r>
    </w:p>
    <w:p w14:paraId="18F6252A" w14:textId="77777777" w:rsidR="00F346C4" w:rsidRPr="005E42F1" w:rsidRDefault="00F346C4" w:rsidP="00A01A84">
      <w:pPr>
        <w:spacing w:line="360" w:lineRule="auto"/>
        <w:jc w:val="both"/>
        <w:rPr>
          <w:b/>
          <w:bCs/>
        </w:rPr>
      </w:pPr>
      <w:r w:rsidRPr="005E42F1">
        <w:rPr>
          <w:b/>
          <w:bCs/>
          <w:lang w:val="en"/>
        </w:rPr>
        <w:t>Agency Theory</w:t>
      </w:r>
    </w:p>
    <w:p w14:paraId="35FC77FA" w14:textId="77777777" w:rsidR="00F346C4" w:rsidRDefault="00F346C4" w:rsidP="00A01A84">
      <w:pPr>
        <w:ind w:firstLine="720"/>
        <w:jc w:val="both"/>
      </w:pPr>
      <w:r>
        <w:rPr>
          <w:lang w:val="en"/>
        </w:rPr>
        <w:t xml:space="preserve">Management is a group contracted by stakeholders or </w:t>
      </w:r>
      <w:proofErr w:type="gramStart"/>
      <w:r>
        <w:rPr>
          <w:lang w:val="en"/>
        </w:rPr>
        <w:t>shareholders</w:t>
      </w:r>
      <w:bookmarkStart w:id="0" w:name="_Hlk72723636"/>
      <w:r>
        <w:rPr>
          <w:lang w:val="en"/>
        </w:rPr>
        <w:t>(</w:t>
      </w:r>
      <w:proofErr w:type="spellStart"/>
      <w:proofErr w:type="gramEnd"/>
      <w:r>
        <w:rPr>
          <w:lang w:val="en"/>
        </w:rPr>
        <w:t>Istifaroh</w:t>
      </w:r>
      <w:proofErr w:type="spellEnd"/>
      <w:r>
        <w:rPr>
          <w:lang w:val="en"/>
        </w:rPr>
        <w:t xml:space="preserve"> &amp; </w:t>
      </w:r>
      <w:proofErr w:type="spellStart"/>
      <w:r>
        <w:rPr>
          <w:lang w:val="en"/>
        </w:rPr>
        <w:t>Subardjo</w:t>
      </w:r>
      <w:proofErr w:type="spellEnd"/>
      <w:r>
        <w:rPr>
          <w:lang w:val="en"/>
        </w:rPr>
        <w:t>, 2017).</w:t>
      </w:r>
      <w:bookmarkEnd w:id="0"/>
      <w:r>
        <w:rPr>
          <w:lang w:val="en"/>
        </w:rPr>
        <w:t xml:space="preserve"> According to Jensen &amp; </w:t>
      </w:r>
      <w:proofErr w:type="spellStart"/>
      <w:r>
        <w:rPr>
          <w:lang w:val="en"/>
        </w:rPr>
        <w:t>Meckling</w:t>
      </w:r>
      <w:proofErr w:type="spellEnd"/>
      <w:r>
        <w:rPr>
          <w:lang w:val="en"/>
        </w:rPr>
        <w:t xml:space="preserve"> (1976) agency relations as management involve people to perform services on their behalf </w:t>
      </w:r>
      <w:proofErr w:type="gramStart"/>
      <w:r>
        <w:rPr>
          <w:lang w:val="en"/>
        </w:rPr>
        <w:t>involving  delegation</w:t>
      </w:r>
      <w:proofErr w:type="gramEnd"/>
      <w:r>
        <w:rPr>
          <w:lang w:val="en"/>
        </w:rPr>
        <w:t xml:space="preserve"> of authority in withdrawing policies to agents. Agency relations </w:t>
      </w:r>
      <w:proofErr w:type="gramStart"/>
      <w:r>
        <w:rPr>
          <w:lang w:val="en"/>
        </w:rPr>
        <w:t xml:space="preserve">cause  </w:t>
      </w:r>
      <w:r w:rsidRPr="005E42F1">
        <w:rPr>
          <w:i/>
          <w:iCs/>
          <w:lang w:val="en"/>
        </w:rPr>
        <w:t>agency</w:t>
      </w:r>
      <w:proofErr w:type="gramEnd"/>
      <w:r w:rsidRPr="005E42F1">
        <w:rPr>
          <w:i/>
          <w:iCs/>
          <w:lang w:val="en"/>
        </w:rPr>
        <w:t xml:space="preserve"> problems</w:t>
      </w:r>
      <w:r>
        <w:rPr>
          <w:lang w:val="en"/>
        </w:rPr>
        <w:t xml:space="preserve"> so that the agency will try to maximize its own interests and ignore the interests of the principal, namely the main mission of the company to develop the welfare and peace of the owner of capital.</w:t>
      </w:r>
    </w:p>
    <w:p w14:paraId="319382BE" w14:textId="77777777" w:rsidR="00F346C4" w:rsidRDefault="00F346C4" w:rsidP="00A01A84">
      <w:pPr>
        <w:ind w:firstLine="720"/>
        <w:jc w:val="both"/>
      </w:pPr>
      <w:r>
        <w:rPr>
          <w:lang w:val="en"/>
        </w:rPr>
        <w:t xml:space="preserve">To reduce asymmetric information between management and shareholders, companies must increase openness. Disclosure may be provided through mandatory disclosure and voluntary disclosure (both financial and non-financial information). Nature increases </w:t>
      </w:r>
      <w:r>
        <w:rPr>
          <w:lang w:val="en"/>
        </w:rPr>
        <w:lastRenderedPageBreak/>
        <w:t xml:space="preserve">disclosure to </w:t>
      </w:r>
      <w:proofErr w:type="gramStart"/>
      <w:r>
        <w:rPr>
          <w:lang w:val="en"/>
        </w:rPr>
        <w:t xml:space="preserve">reduce  </w:t>
      </w:r>
      <w:r w:rsidRPr="005E42F1">
        <w:rPr>
          <w:i/>
          <w:iCs/>
          <w:lang w:val="en"/>
        </w:rPr>
        <w:t>agency</w:t>
      </w:r>
      <w:proofErr w:type="gramEnd"/>
      <w:r w:rsidRPr="005E42F1">
        <w:rPr>
          <w:i/>
          <w:iCs/>
          <w:lang w:val="en"/>
        </w:rPr>
        <w:t xml:space="preserve"> problems</w:t>
      </w:r>
      <w:r>
        <w:rPr>
          <w:lang w:val="en"/>
        </w:rPr>
        <w:t xml:space="preserve"> needed good corporate governance (corporate governance) in this case will be able to occur surveillance and monitoring systems.</w:t>
      </w:r>
    </w:p>
    <w:p w14:paraId="030B9376" w14:textId="77777777" w:rsidR="00F346C4" w:rsidRDefault="00F346C4" w:rsidP="00A01A84">
      <w:pPr>
        <w:jc w:val="both"/>
        <w:rPr>
          <w:b/>
          <w:bCs/>
        </w:rPr>
      </w:pPr>
    </w:p>
    <w:p w14:paraId="6E24C093" w14:textId="77777777" w:rsidR="00F346C4" w:rsidRPr="005E42F1" w:rsidRDefault="00F346C4" w:rsidP="00A01A84">
      <w:pPr>
        <w:jc w:val="both"/>
        <w:rPr>
          <w:b/>
          <w:bCs/>
        </w:rPr>
      </w:pPr>
      <w:r w:rsidRPr="005E42F1">
        <w:rPr>
          <w:b/>
          <w:bCs/>
          <w:lang w:val="en"/>
        </w:rPr>
        <w:t>Signal Theory</w:t>
      </w:r>
    </w:p>
    <w:p w14:paraId="563DFCA5" w14:textId="77777777" w:rsidR="00F346C4" w:rsidRDefault="00F346C4" w:rsidP="00D761FB">
      <w:pPr>
        <w:ind w:firstLine="567"/>
        <w:jc w:val="both"/>
      </w:pPr>
      <w:r>
        <w:rPr>
          <w:lang w:val="en"/>
        </w:rPr>
        <w:t xml:space="preserve">According to </w:t>
      </w:r>
      <w:proofErr w:type="spellStart"/>
      <w:r>
        <w:rPr>
          <w:lang w:val="en"/>
        </w:rPr>
        <w:t>Widiastari</w:t>
      </w:r>
      <w:proofErr w:type="spellEnd"/>
      <w:r>
        <w:rPr>
          <w:lang w:val="en"/>
        </w:rPr>
        <w:t xml:space="preserve"> &amp; </w:t>
      </w:r>
      <w:proofErr w:type="spellStart"/>
      <w:r>
        <w:rPr>
          <w:lang w:val="en"/>
        </w:rPr>
        <w:t>Yasa</w:t>
      </w:r>
      <w:proofErr w:type="spellEnd"/>
      <w:r>
        <w:rPr>
          <w:lang w:val="en"/>
        </w:rPr>
        <w:t xml:space="preserve"> (2018), reporting financial information related to the company's performance will be able to increase the value of the company. The higher the profit the company generates will show that the better the company's financial performance and the company's prospects in the future become promising. In addition, the growth in return on assets will be able to convince investors that the company is able to provide a high rate of return on investment.</w:t>
      </w:r>
    </w:p>
    <w:p w14:paraId="23123510" w14:textId="77777777" w:rsidR="00F346C4" w:rsidRDefault="00F346C4" w:rsidP="00D761FB">
      <w:pPr>
        <w:ind w:firstLine="567"/>
        <w:jc w:val="both"/>
      </w:pPr>
      <w:r>
        <w:rPr>
          <w:lang w:val="en"/>
        </w:rPr>
        <w:t xml:space="preserve">In </w:t>
      </w:r>
      <w:proofErr w:type="spellStart"/>
      <w:r w:rsidRPr="005E42F1">
        <w:rPr>
          <w:i/>
          <w:iCs/>
          <w:lang w:val="en"/>
        </w:rPr>
        <w:t>signalling</w:t>
      </w:r>
      <w:proofErr w:type="spellEnd"/>
      <w:r w:rsidRPr="005E42F1">
        <w:rPr>
          <w:i/>
          <w:iCs/>
          <w:lang w:val="en"/>
        </w:rPr>
        <w:t xml:space="preserve"> </w:t>
      </w:r>
      <w:proofErr w:type="gramStart"/>
      <w:r w:rsidRPr="005E42F1">
        <w:rPr>
          <w:i/>
          <w:iCs/>
          <w:lang w:val="en"/>
        </w:rPr>
        <w:t>theory</w:t>
      </w:r>
      <w:r>
        <w:rPr>
          <w:lang w:val="en"/>
        </w:rPr>
        <w:t xml:space="preserve">  mentioned</w:t>
      </w:r>
      <w:proofErr w:type="gramEnd"/>
      <w:r>
        <w:rPr>
          <w:lang w:val="en"/>
        </w:rPr>
        <w:t xml:space="preserve"> that the information issued by the company is very important for parties outside the company. the information published will provide a signal for investors in investment decision making. Good information is expected to give a positive reaction from the market. Management always strives to disclose private information that according to the company's consideration is in great demand by investors and shareholders, especially if the information is good news.</w:t>
      </w:r>
    </w:p>
    <w:p w14:paraId="0C8A689A" w14:textId="77777777" w:rsidR="00F346C4" w:rsidRDefault="00F346C4" w:rsidP="00D761FB">
      <w:pPr>
        <w:jc w:val="both"/>
        <w:rPr>
          <w:b/>
          <w:bCs/>
        </w:rPr>
      </w:pPr>
    </w:p>
    <w:p w14:paraId="40A55188" w14:textId="77777777" w:rsidR="00F346C4" w:rsidRPr="005E42F1" w:rsidRDefault="00F346C4" w:rsidP="00495204">
      <w:pPr>
        <w:jc w:val="both"/>
        <w:rPr>
          <w:b/>
          <w:bCs/>
        </w:rPr>
      </w:pPr>
      <w:r w:rsidRPr="005E42F1">
        <w:rPr>
          <w:b/>
          <w:bCs/>
          <w:lang w:val="en"/>
        </w:rPr>
        <w:t>Company Value</w:t>
      </w:r>
    </w:p>
    <w:p w14:paraId="21359EBB" w14:textId="77777777" w:rsidR="00F346C4" w:rsidRDefault="00F346C4" w:rsidP="00495204">
      <w:pPr>
        <w:tabs>
          <w:tab w:val="left" w:pos="567"/>
        </w:tabs>
        <w:ind w:firstLine="567"/>
        <w:jc w:val="both"/>
      </w:pPr>
      <w:r w:rsidRPr="00337CEE">
        <w:rPr>
          <w:lang w:val="en"/>
        </w:rPr>
        <w:t>One of the things considered by investors in making investments is the value of the company in which the investor will invest (</w:t>
      </w:r>
      <w:proofErr w:type="spellStart"/>
      <w:r w:rsidRPr="00337CEE">
        <w:rPr>
          <w:lang w:val="en"/>
        </w:rPr>
        <w:t>Ernawati</w:t>
      </w:r>
      <w:proofErr w:type="spellEnd"/>
      <w:r w:rsidRPr="00337CEE">
        <w:rPr>
          <w:lang w:val="en"/>
        </w:rPr>
        <w:t xml:space="preserve"> and </w:t>
      </w:r>
      <w:proofErr w:type="spellStart"/>
      <w:r w:rsidRPr="00337CEE">
        <w:rPr>
          <w:lang w:val="en"/>
        </w:rPr>
        <w:t>Widyawati</w:t>
      </w:r>
      <w:proofErr w:type="spellEnd"/>
      <w:r w:rsidRPr="00337CEE">
        <w:rPr>
          <w:lang w:val="en"/>
        </w:rPr>
        <w:t xml:space="preserve"> ;2015). The higher the value of the company, the greater the prosperity that will be received by the owner of the company. High company value becomes the desire of the owners of the company, because with high value shows the prosperity of shareholders is also high.</w:t>
      </w:r>
    </w:p>
    <w:p w14:paraId="21173AFC" w14:textId="77777777" w:rsidR="00F346C4" w:rsidRDefault="00F346C4" w:rsidP="00495204">
      <w:pPr>
        <w:ind w:firstLine="567"/>
        <w:jc w:val="both"/>
      </w:pPr>
      <w:r>
        <w:rPr>
          <w:lang w:val="en"/>
        </w:rPr>
        <w:t>The same is stated by Pertiwi, et al (2016) that the company's high value will make the market believe not only in the company's current performance but also in the company's future prospects. The value of the company is interpreted as the price that can be paid by potential investors if a company will be sold. The better the value of the company will improve the welfare of the owner of the company. For companies that issue shares on the capital market the stock price traded on the exchange is an indicator of the value of the company (</w:t>
      </w:r>
      <w:proofErr w:type="spellStart"/>
      <w:r>
        <w:rPr>
          <w:lang w:val="en"/>
        </w:rPr>
        <w:t>Lumoly</w:t>
      </w:r>
      <w:proofErr w:type="spellEnd"/>
      <w:r>
        <w:rPr>
          <w:lang w:val="en"/>
        </w:rPr>
        <w:t>, Selin, 2018).</w:t>
      </w:r>
    </w:p>
    <w:p w14:paraId="133EA13A" w14:textId="77777777" w:rsidR="00F346C4" w:rsidRDefault="00F346C4" w:rsidP="00495204">
      <w:pPr>
        <w:jc w:val="both"/>
        <w:rPr>
          <w:b/>
          <w:bCs/>
          <w:i/>
          <w:iCs/>
        </w:rPr>
      </w:pPr>
    </w:p>
    <w:p w14:paraId="6E775C56" w14:textId="21A4DB9F" w:rsidR="005E42F1" w:rsidRPr="005E42F1" w:rsidRDefault="005E42F1" w:rsidP="005E42F1">
      <w:pPr>
        <w:jc w:val="both"/>
        <w:rPr>
          <w:b/>
          <w:bCs/>
          <w:i/>
          <w:iCs/>
        </w:rPr>
      </w:pPr>
      <w:r w:rsidRPr="005E42F1">
        <w:rPr>
          <w:b/>
          <w:bCs/>
          <w:i/>
          <w:iCs/>
        </w:rPr>
        <w:t xml:space="preserve">Enterprise </w:t>
      </w:r>
      <w:r w:rsidRPr="005E42F1">
        <w:rPr>
          <w:b/>
          <w:bCs/>
          <w:i/>
          <w:iCs/>
          <w:lang w:val="en-US"/>
        </w:rPr>
        <w:t xml:space="preserve">Risk Management </w:t>
      </w:r>
      <w:r w:rsidRPr="005E42F1">
        <w:rPr>
          <w:b/>
          <w:bCs/>
          <w:i/>
          <w:iCs/>
        </w:rPr>
        <w:t xml:space="preserve">Disclosure </w:t>
      </w:r>
    </w:p>
    <w:p w14:paraId="3882C01D" w14:textId="77777777" w:rsidR="00F346C4" w:rsidRDefault="00F346C4" w:rsidP="0058497F">
      <w:pPr>
        <w:pStyle w:val="Default"/>
        <w:ind w:firstLine="567"/>
        <w:jc w:val="both"/>
        <w:rPr>
          <w:i/>
          <w:iCs/>
        </w:rPr>
      </w:pPr>
      <w:r>
        <w:rPr>
          <w:sz w:val="23"/>
          <w:szCs w:val="23"/>
          <w:lang w:val="en"/>
        </w:rPr>
        <w:t xml:space="preserve">Enterprise risk </w:t>
      </w:r>
      <w:r>
        <w:rPr>
          <w:i/>
          <w:iCs/>
          <w:sz w:val="23"/>
          <w:szCs w:val="23"/>
          <w:lang w:val="en"/>
        </w:rPr>
        <w:t xml:space="preserve">management </w:t>
      </w:r>
      <w:r>
        <w:rPr>
          <w:lang w:val="en"/>
        </w:rPr>
        <w:t xml:space="preserve">is </w:t>
      </w:r>
      <w:r>
        <w:rPr>
          <w:sz w:val="23"/>
          <w:szCs w:val="23"/>
          <w:lang w:val="en"/>
        </w:rPr>
        <w:t>defined by COSO (</w:t>
      </w:r>
      <w:proofErr w:type="spellStart"/>
      <w:r>
        <w:rPr>
          <w:sz w:val="23"/>
          <w:szCs w:val="23"/>
          <w:lang w:val="en"/>
        </w:rPr>
        <w:t>Committee</w:t>
      </w:r>
      <w:r w:rsidRPr="00617161">
        <w:rPr>
          <w:i/>
          <w:iCs/>
          <w:sz w:val="23"/>
          <w:szCs w:val="23"/>
          <w:lang w:val="en"/>
        </w:rPr>
        <w:t>of</w:t>
      </w:r>
      <w:proofErr w:type="spellEnd"/>
      <w:r w:rsidRPr="00617161">
        <w:rPr>
          <w:i/>
          <w:iCs/>
          <w:sz w:val="23"/>
          <w:szCs w:val="23"/>
          <w:lang w:val="en"/>
        </w:rPr>
        <w:t xml:space="preserve"> Sponsoring Organization of the Treadway </w:t>
      </w:r>
      <w:proofErr w:type="gramStart"/>
      <w:r w:rsidRPr="00617161">
        <w:rPr>
          <w:i/>
          <w:iCs/>
          <w:sz w:val="23"/>
          <w:szCs w:val="23"/>
          <w:lang w:val="en"/>
        </w:rPr>
        <w:t>Commission)</w:t>
      </w:r>
      <w:r>
        <w:rPr>
          <w:sz w:val="23"/>
          <w:szCs w:val="23"/>
          <w:lang w:val="en"/>
        </w:rPr>
        <w:t>as</w:t>
      </w:r>
      <w:proofErr w:type="gramEnd"/>
      <w:r>
        <w:rPr>
          <w:sz w:val="23"/>
          <w:szCs w:val="23"/>
          <w:lang w:val="en"/>
        </w:rPr>
        <w:t xml:space="preserve"> culture, capabilities, and practices, integrated with strategy and execution settings, that organizations rely on managing risk in creating, preserving, and realizing value (Anderson, Head, </w:t>
      </w:r>
      <w:proofErr w:type="spellStart"/>
      <w:r>
        <w:rPr>
          <w:sz w:val="23"/>
          <w:szCs w:val="23"/>
          <w:lang w:val="en"/>
        </w:rPr>
        <w:t>Ramamoorti</w:t>
      </w:r>
      <w:proofErr w:type="spellEnd"/>
      <w:r>
        <w:rPr>
          <w:sz w:val="23"/>
          <w:szCs w:val="23"/>
          <w:lang w:val="en"/>
        </w:rPr>
        <w:t xml:space="preserve">, Riddle, </w:t>
      </w:r>
      <w:proofErr w:type="spellStart"/>
      <w:r>
        <w:rPr>
          <w:sz w:val="23"/>
          <w:szCs w:val="23"/>
          <w:lang w:val="en"/>
        </w:rPr>
        <w:t>Salamasick</w:t>
      </w:r>
      <w:proofErr w:type="spellEnd"/>
      <w:r>
        <w:rPr>
          <w:sz w:val="23"/>
          <w:szCs w:val="23"/>
          <w:lang w:val="en"/>
        </w:rPr>
        <w:t xml:space="preserve">, Sobel, 2017: 4-4). Companies that successfully </w:t>
      </w:r>
      <w:proofErr w:type="gramStart"/>
      <w:r>
        <w:rPr>
          <w:sz w:val="23"/>
          <w:szCs w:val="23"/>
          <w:lang w:val="en"/>
        </w:rPr>
        <w:t xml:space="preserve">implement </w:t>
      </w:r>
      <w:r>
        <w:rPr>
          <w:lang w:val="en"/>
        </w:rPr>
        <w:t xml:space="preserve"> </w:t>
      </w:r>
      <w:r>
        <w:rPr>
          <w:i/>
          <w:iCs/>
          <w:sz w:val="23"/>
          <w:szCs w:val="23"/>
          <w:lang w:val="en"/>
        </w:rPr>
        <w:t>Enterprise</w:t>
      </w:r>
      <w:proofErr w:type="gramEnd"/>
      <w:r>
        <w:rPr>
          <w:i/>
          <w:iCs/>
          <w:sz w:val="23"/>
          <w:szCs w:val="23"/>
          <w:lang w:val="en"/>
        </w:rPr>
        <w:t xml:space="preserve"> Risk Management </w:t>
      </w:r>
      <w:r>
        <w:rPr>
          <w:lang w:val="en"/>
        </w:rPr>
        <w:t xml:space="preserve"> </w:t>
      </w:r>
      <w:r>
        <w:rPr>
          <w:sz w:val="23"/>
          <w:szCs w:val="23"/>
          <w:lang w:val="en"/>
        </w:rPr>
        <w:t>effectively will benefit long-term and more competitively (</w:t>
      </w:r>
      <w:proofErr w:type="spellStart"/>
      <w:r>
        <w:rPr>
          <w:sz w:val="23"/>
          <w:szCs w:val="23"/>
          <w:lang w:val="en"/>
        </w:rPr>
        <w:t>Saptiti</w:t>
      </w:r>
      <w:proofErr w:type="spellEnd"/>
      <w:r>
        <w:rPr>
          <w:sz w:val="23"/>
          <w:szCs w:val="23"/>
          <w:lang w:val="en"/>
        </w:rPr>
        <w:t xml:space="preserve">, 2013; in </w:t>
      </w:r>
      <w:proofErr w:type="spellStart"/>
      <w:r>
        <w:rPr>
          <w:sz w:val="23"/>
          <w:szCs w:val="23"/>
          <w:lang w:val="en"/>
        </w:rPr>
        <w:t>Koeswara</w:t>
      </w:r>
      <w:proofErr w:type="spellEnd"/>
      <w:r>
        <w:rPr>
          <w:sz w:val="23"/>
          <w:szCs w:val="23"/>
          <w:lang w:val="en"/>
        </w:rPr>
        <w:t xml:space="preserve"> and </w:t>
      </w:r>
      <w:proofErr w:type="spellStart"/>
      <w:r>
        <w:rPr>
          <w:sz w:val="23"/>
          <w:szCs w:val="23"/>
          <w:lang w:val="en"/>
        </w:rPr>
        <w:t>Harjito</w:t>
      </w:r>
      <w:proofErr w:type="spellEnd"/>
      <w:r>
        <w:rPr>
          <w:sz w:val="23"/>
          <w:szCs w:val="23"/>
          <w:lang w:val="en"/>
        </w:rPr>
        <w:t>, 2016).</w:t>
      </w:r>
    </w:p>
    <w:p w14:paraId="0B10EB56" w14:textId="77777777" w:rsidR="00F346C4" w:rsidRPr="00446012" w:rsidRDefault="00F346C4" w:rsidP="0058497F">
      <w:pPr>
        <w:pStyle w:val="Default"/>
        <w:ind w:firstLine="567"/>
        <w:jc w:val="both"/>
      </w:pPr>
      <w:r w:rsidRPr="00446012">
        <w:rPr>
          <w:i/>
          <w:iCs/>
          <w:lang w:val="en"/>
        </w:rPr>
        <w:t xml:space="preserve">Enterprise risk management disclosure </w:t>
      </w:r>
      <w:r w:rsidRPr="00446012">
        <w:rPr>
          <w:lang w:val="en"/>
        </w:rPr>
        <w:t>is information related to a company's commitment to managing risk.</w:t>
      </w:r>
      <w:r>
        <w:rPr>
          <w:lang w:val="en"/>
        </w:rPr>
        <w:t xml:space="preserve"> </w:t>
      </w:r>
      <w:r w:rsidRPr="00446012">
        <w:rPr>
          <w:i/>
          <w:iCs/>
          <w:lang w:val="en"/>
        </w:rPr>
        <w:t xml:space="preserve">The </w:t>
      </w:r>
      <w:proofErr w:type="spellStart"/>
      <w:r w:rsidRPr="00446012">
        <w:rPr>
          <w:i/>
          <w:iCs/>
          <w:lang w:val="en"/>
        </w:rPr>
        <w:t>Committe</w:t>
      </w:r>
      <w:proofErr w:type="spellEnd"/>
      <w:r w:rsidRPr="00446012">
        <w:rPr>
          <w:i/>
          <w:iCs/>
          <w:lang w:val="en"/>
        </w:rPr>
        <w:t xml:space="preserve"> of Sponsoring Organization (</w:t>
      </w:r>
      <w:proofErr w:type="gramStart"/>
      <w:r w:rsidRPr="00446012">
        <w:rPr>
          <w:i/>
          <w:iCs/>
          <w:lang w:val="en"/>
        </w:rPr>
        <w:t xml:space="preserve">COSO) </w:t>
      </w:r>
      <w:r>
        <w:rPr>
          <w:lang w:val="en"/>
        </w:rPr>
        <w:t xml:space="preserve"> </w:t>
      </w:r>
      <w:r w:rsidRPr="00446012">
        <w:rPr>
          <w:lang w:val="en"/>
        </w:rPr>
        <w:t>in</w:t>
      </w:r>
      <w:proofErr w:type="gramEnd"/>
      <w:r w:rsidRPr="00446012">
        <w:rPr>
          <w:lang w:val="en"/>
        </w:rPr>
        <w:t xml:space="preserve"> September 2004 published </w:t>
      </w:r>
      <w:r>
        <w:rPr>
          <w:lang w:val="en"/>
        </w:rPr>
        <w:t xml:space="preserve">enterprise risk </w:t>
      </w:r>
      <w:r w:rsidRPr="00446012">
        <w:rPr>
          <w:i/>
          <w:iCs/>
          <w:lang w:val="en"/>
        </w:rPr>
        <w:t xml:space="preserve">management </w:t>
      </w:r>
      <w:r>
        <w:rPr>
          <w:lang w:val="en"/>
        </w:rPr>
        <w:t xml:space="preserve"> </w:t>
      </w:r>
      <w:r w:rsidRPr="00446012">
        <w:rPr>
          <w:lang w:val="en"/>
        </w:rPr>
        <w:t xml:space="preserve">as a corporate risk management process designed and </w:t>
      </w:r>
      <w:r>
        <w:rPr>
          <w:lang w:val="en"/>
        </w:rPr>
        <w:t xml:space="preserve"> implemented </w:t>
      </w:r>
      <w:proofErr w:type="spellStart"/>
      <w:r>
        <w:rPr>
          <w:lang w:val="en"/>
        </w:rPr>
        <w:t>into</w:t>
      </w:r>
      <w:r w:rsidRPr="00446012">
        <w:rPr>
          <w:color w:val="auto"/>
          <w:lang w:val="en"/>
        </w:rPr>
        <w:t>each</w:t>
      </w:r>
      <w:proofErr w:type="spellEnd"/>
      <w:r w:rsidRPr="00446012">
        <w:rPr>
          <w:color w:val="auto"/>
          <w:lang w:val="en"/>
        </w:rPr>
        <w:t xml:space="preserve"> company's strategy to achieve the company's goals.</w:t>
      </w:r>
      <w:r>
        <w:rPr>
          <w:lang w:val="en"/>
        </w:rPr>
        <w:t xml:space="preserve"> </w:t>
      </w:r>
      <w:r w:rsidRPr="00617161">
        <w:rPr>
          <w:i/>
          <w:iCs/>
          <w:color w:val="auto"/>
          <w:lang w:val="en"/>
        </w:rPr>
        <w:t>E</w:t>
      </w:r>
      <w:r w:rsidRPr="00446012">
        <w:rPr>
          <w:i/>
          <w:iCs/>
          <w:color w:val="auto"/>
          <w:lang w:val="en"/>
        </w:rPr>
        <w:t xml:space="preserve">nterprise risk management disclosure </w:t>
      </w:r>
      <w:r>
        <w:rPr>
          <w:lang w:val="en"/>
        </w:rPr>
        <w:t xml:space="preserve"> </w:t>
      </w:r>
      <w:r w:rsidRPr="00446012">
        <w:rPr>
          <w:color w:val="auto"/>
          <w:lang w:val="en"/>
        </w:rPr>
        <w:t xml:space="preserve">consists of 108 items covering eight dimensions based on </w:t>
      </w:r>
      <w:r>
        <w:rPr>
          <w:lang w:val="en"/>
        </w:rPr>
        <w:t xml:space="preserve">the enterprise risk management </w:t>
      </w:r>
      <w:r w:rsidRPr="00446012">
        <w:rPr>
          <w:i/>
          <w:iCs/>
          <w:color w:val="auto"/>
          <w:lang w:val="en"/>
        </w:rPr>
        <w:t xml:space="preserve">framework </w:t>
      </w:r>
      <w:r>
        <w:rPr>
          <w:lang w:val="en"/>
        </w:rPr>
        <w:t xml:space="preserve"> </w:t>
      </w:r>
      <w:r w:rsidRPr="00446012">
        <w:rPr>
          <w:color w:val="auto"/>
          <w:lang w:val="en"/>
        </w:rPr>
        <w:t xml:space="preserve">issued by </w:t>
      </w:r>
      <w:r>
        <w:rPr>
          <w:lang w:val="en"/>
        </w:rPr>
        <w:t xml:space="preserve"> </w:t>
      </w:r>
      <w:r w:rsidRPr="00446012">
        <w:rPr>
          <w:i/>
          <w:iCs/>
          <w:color w:val="auto"/>
          <w:lang w:val="en"/>
        </w:rPr>
        <w:t xml:space="preserve">COSO </w:t>
      </w:r>
      <w:r>
        <w:rPr>
          <w:lang w:val="en"/>
        </w:rPr>
        <w:t xml:space="preserve"> </w:t>
      </w:r>
      <w:proofErr w:type="spellStart"/>
      <w:r w:rsidRPr="00446012">
        <w:rPr>
          <w:color w:val="auto"/>
          <w:lang w:val="en"/>
        </w:rPr>
        <w:t>yaiu</w:t>
      </w:r>
      <w:proofErr w:type="spellEnd"/>
      <w:r w:rsidRPr="00446012">
        <w:rPr>
          <w:color w:val="auto"/>
          <w:lang w:val="en"/>
        </w:rPr>
        <w:t>: (1) Internal environment, (2) goal setting, (3) Identification of events, (4) Risk assessment, (5) Response to risk, (6) Surveillance activities, (7) Information and communication, and (8) Monitoring (</w:t>
      </w:r>
      <w:proofErr w:type="spellStart"/>
      <w:r w:rsidRPr="00446012">
        <w:rPr>
          <w:color w:val="auto"/>
          <w:lang w:val="en"/>
        </w:rPr>
        <w:t>Desender</w:t>
      </w:r>
      <w:proofErr w:type="spellEnd"/>
      <w:r w:rsidRPr="00446012">
        <w:rPr>
          <w:color w:val="auto"/>
          <w:lang w:val="en"/>
        </w:rPr>
        <w:t>, 2007).</w:t>
      </w:r>
    </w:p>
    <w:p w14:paraId="45CB0356" w14:textId="77777777" w:rsidR="005E42F1" w:rsidRDefault="005E42F1" w:rsidP="005E42F1">
      <w:pPr>
        <w:jc w:val="both"/>
        <w:rPr>
          <w:b/>
          <w:bCs/>
          <w:i/>
          <w:iCs/>
        </w:rPr>
      </w:pPr>
    </w:p>
    <w:p w14:paraId="40D8D887" w14:textId="77777777" w:rsidR="00F346C4" w:rsidRDefault="00F346C4" w:rsidP="005E42F1">
      <w:pPr>
        <w:jc w:val="both"/>
        <w:rPr>
          <w:b/>
          <w:bCs/>
          <w:i/>
          <w:iCs/>
        </w:rPr>
      </w:pPr>
    </w:p>
    <w:p w14:paraId="079FBA64" w14:textId="77777777" w:rsidR="00F346C4" w:rsidRDefault="00F346C4" w:rsidP="005E42F1">
      <w:pPr>
        <w:jc w:val="both"/>
        <w:rPr>
          <w:b/>
          <w:bCs/>
          <w:i/>
          <w:iCs/>
        </w:rPr>
      </w:pPr>
    </w:p>
    <w:p w14:paraId="3B947769" w14:textId="59F7846A" w:rsidR="005E42F1" w:rsidRPr="005E42F1" w:rsidRDefault="005E42F1" w:rsidP="005E42F1">
      <w:pPr>
        <w:jc w:val="both"/>
        <w:rPr>
          <w:b/>
          <w:bCs/>
          <w:i/>
          <w:iCs/>
        </w:rPr>
      </w:pPr>
      <w:r w:rsidRPr="005E42F1">
        <w:rPr>
          <w:b/>
          <w:bCs/>
          <w:i/>
          <w:iCs/>
        </w:rPr>
        <w:lastRenderedPageBreak/>
        <w:t>Intellectual Capital</w:t>
      </w:r>
    </w:p>
    <w:p w14:paraId="28220D6E" w14:textId="77777777" w:rsidR="00F346C4" w:rsidRDefault="00F346C4" w:rsidP="000C32A5">
      <w:pPr>
        <w:ind w:firstLine="567"/>
        <w:jc w:val="both"/>
      </w:pPr>
      <w:r w:rsidRPr="005E42F1">
        <w:rPr>
          <w:i/>
          <w:iCs/>
          <w:lang w:val="en"/>
        </w:rPr>
        <w:t>Intellectual capital</w:t>
      </w:r>
      <w:r>
        <w:rPr>
          <w:lang w:val="en"/>
        </w:rPr>
        <w:t xml:space="preserve"> is a term of intangible assets that are a combination of human-centered markets and intellectual property and infrastructure that drive to implement and develop companies. Intellectual capital includes all employee knowledge, organization and ability to create added value and sustainable competitive advantage of </w:t>
      </w:r>
      <w:proofErr w:type="spellStart"/>
      <w:r>
        <w:rPr>
          <w:lang w:val="en"/>
        </w:rPr>
        <w:t>Ulum</w:t>
      </w:r>
      <w:proofErr w:type="spellEnd"/>
      <w:r>
        <w:rPr>
          <w:lang w:val="en"/>
        </w:rPr>
        <w:t xml:space="preserve"> (2017).</w:t>
      </w:r>
    </w:p>
    <w:p w14:paraId="3D6A0968" w14:textId="77777777" w:rsidR="00F346C4" w:rsidRDefault="00F346C4" w:rsidP="000C32A5">
      <w:pPr>
        <w:ind w:firstLine="567"/>
        <w:jc w:val="both"/>
      </w:pPr>
      <w:r>
        <w:rPr>
          <w:lang w:val="en"/>
        </w:rPr>
        <w:t xml:space="preserve">Intellectual </w:t>
      </w:r>
      <w:r w:rsidRPr="005E42F1">
        <w:rPr>
          <w:i/>
          <w:iCs/>
          <w:lang w:val="en"/>
        </w:rPr>
        <w:t>capital information</w:t>
      </w:r>
      <w:r>
        <w:rPr>
          <w:lang w:val="en"/>
        </w:rPr>
        <w:t xml:space="preserve"> is needed by investors because this information reflects the company's capabilities in the future. Reporting  </w:t>
      </w:r>
      <w:r w:rsidRPr="005E42F1">
        <w:rPr>
          <w:i/>
          <w:iCs/>
          <w:lang w:val="en"/>
        </w:rPr>
        <w:t>intellectual capital</w:t>
      </w:r>
      <w:r>
        <w:rPr>
          <w:lang w:val="en"/>
        </w:rPr>
        <w:t xml:space="preserve"> that is not presented or limited presented to external parties will have an impact on the lack of information for investors about the development of the company's intangible resources so that it will cause investors' perceptions of the condition and prospects of the company to be lower so that intellectual </w:t>
      </w:r>
      <w:r w:rsidRPr="005E42F1">
        <w:rPr>
          <w:i/>
          <w:iCs/>
          <w:lang w:val="en"/>
        </w:rPr>
        <w:t>capital</w:t>
      </w:r>
      <w:r>
        <w:rPr>
          <w:lang w:val="en"/>
        </w:rPr>
        <w:t xml:space="preserve"> is the key driver of the company's value, the wider the disclosures made by the company regarding </w:t>
      </w:r>
      <w:r w:rsidRPr="005E42F1">
        <w:rPr>
          <w:i/>
          <w:iCs/>
          <w:lang w:val="en"/>
        </w:rPr>
        <w:t xml:space="preserve"> Intellectual capital</w:t>
      </w:r>
      <w:r>
        <w:rPr>
          <w:lang w:val="en"/>
        </w:rPr>
        <w:t xml:space="preserve"> </w:t>
      </w:r>
      <w:r w:rsidRPr="00943744">
        <w:rPr>
          <w:lang w:val="en"/>
        </w:rPr>
        <w:t xml:space="preserve"> in the annual report, the higher the value of the company.</w:t>
      </w:r>
    </w:p>
    <w:p w14:paraId="6456290C" w14:textId="77777777" w:rsidR="005E42F1" w:rsidRDefault="005E42F1" w:rsidP="005E42F1">
      <w:pPr>
        <w:jc w:val="both"/>
        <w:rPr>
          <w:b/>
          <w:bCs/>
          <w:i/>
          <w:iCs/>
        </w:rPr>
      </w:pPr>
    </w:p>
    <w:p w14:paraId="475A21FD" w14:textId="302A5D9D" w:rsidR="005E42F1" w:rsidRPr="005E42F1" w:rsidRDefault="005E42F1" w:rsidP="005E42F1">
      <w:pPr>
        <w:jc w:val="both"/>
        <w:rPr>
          <w:b/>
          <w:bCs/>
          <w:i/>
          <w:iCs/>
        </w:rPr>
      </w:pPr>
      <w:r w:rsidRPr="005E42F1">
        <w:rPr>
          <w:b/>
          <w:bCs/>
          <w:i/>
          <w:iCs/>
        </w:rPr>
        <w:t>Good Corporate Governance (GCG)</w:t>
      </w:r>
    </w:p>
    <w:p w14:paraId="7D2F3ECF" w14:textId="77777777" w:rsidR="00F346C4" w:rsidRDefault="00F346C4" w:rsidP="001236FB">
      <w:pPr>
        <w:ind w:firstLine="567"/>
        <w:jc w:val="both"/>
      </w:pPr>
      <w:r>
        <w:rPr>
          <w:lang w:val="en"/>
        </w:rPr>
        <w:t xml:space="preserve">In the book </w:t>
      </w:r>
      <w:r w:rsidRPr="005E42F1">
        <w:rPr>
          <w:i/>
          <w:iCs/>
          <w:lang w:val="en"/>
        </w:rPr>
        <w:t>Good Corporate Governance</w:t>
      </w:r>
      <w:r>
        <w:rPr>
          <w:lang w:val="en"/>
        </w:rPr>
        <w:t xml:space="preserve"> Ethics Review in business practices Hamdani (2016) </w:t>
      </w:r>
      <w:proofErr w:type="gramStart"/>
      <w:r>
        <w:rPr>
          <w:lang w:val="en"/>
        </w:rPr>
        <w:t xml:space="preserve">defines  </w:t>
      </w:r>
      <w:r w:rsidRPr="005E42F1">
        <w:rPr>
          <w:i/>
          <w:iCs/>
          <w:lang w:val="en"/>
        </w:rPr>
        <w:t>corporate</w:t>
      </w:r>
      <w:proofErr w:type="gramEnd"/>
      <w:r w:rsidRPr="005E42F1">
        <w:rPr>
          <w:i/>
          <w:iCs/>
          <w:lang w:val="en"/>
        </w:rPr>
        <w:t xml:space="preserve"> governance</w:t>
      </w:r>
      <w:r>
        <w:rPr>
          <w:lang w:val="en"/>
        </w:rPr>
        <w:t xml:space="preserve"> as a system that directs and controls companies. </w:t>
      </w:r>
      <w:r w:rsidRPr="005E42F1">
        <w:rPr>
          <w:i/>
          <w:iCs/>
          <w:lang w:val="en"/>
        </w:rPr>
        <w:t xml:space="preserve">The Indonesian Institute for Corporate </w:t>
      </w:r>
      <w:proofErr w:type="gramStart"/>
      <w:r w:rsidRPr="005E42F1">
        <w:rPr>
          <w:i/>
          <w:iCs/>
          <w:lang w:val="en"/>
        </w:rPr>
        <w:t>Governance</w:t>
      </w:r>
      <w:r>
        <w:rPr>
          <w:lang w:val="en"/>
        </w:rPr>
        <w:t xml:space="preserve">  (</w:t>
      </w:r>
      <w:proofErr w:type="gramEnd"/>
      <w:r>
        <w:rPr>
          <w:lang w:val="en"/>
        </w:rPr>
        <w:t>IICG) defines GCG as the process and structure applied in running the company, with the main goal of increasing shareholder value in the long term while taking into account the interests of other bettors.</w:t>
      </w:r>
    </w:p>
    <w:p w14:paraId="188975C0" w14:textId="77777777" w:rsidR="00F346C4" w:rsidRDefault="00F346C4" w:rsidP="001236FB">
      <w:pPr>
        <w:ind w:firstLine="567"/>
        <w:jc w:val="both"/>
      </w:pPr>
      <w:r>
        <w:rPr>
          <w:lang w:val="en"/>
        </w:rPr>
        <w:t xml:space="preserve">In the implementation of GCG, there are differences in its implementation in each State, this is due to various factors such as the legal framework, as well as things that are not written but have a tremendous influence on the success rate of implementing good </w:t>
      </w:r>
      <w:proofErr w:type="gramStart"/>
      <w:r w:rsidRPr="005E42F1">
        <w:rPr>
          <w:i/>
          <w:iCs/>
          <w:lang w:val="en"/>
        </w:rPr>
        <w:t>governance</w:t>
      </w:r>
      <w:r>
        <w:rPr>
          <w:lang w:val="en"/>
        </w:rPr>
        <w:t xml:space="preserve">  principles</w:t>
      </w:r>
      <w:proofErr w:type="gramEnd"/>
      <w:r>
        <w:rPr>
          <w:lang w:val="en"/>
        </w:rPr>
        <w:t xml:space="preserve">. The application of GCG to </w:t>
      </w:r>
      <w:proofErr w:type="gramStart"/>
      <w:r>
        <w:rPr>
          <w:lang w:val="en"/>
        </w:rPr>
        <w:t xml:space="preserve">each </w:t>
      </w:r>
      <w:r w:rsidRPr="005E42F1">
        <w:rPr>
          <w:lang w:val="en"/>
        </w:rPr>
        <w:t xml:space="preserve"> </w:t>
      </w:r>
      <w:proofErr w:type="spellStart"/>
      <w:r w:rsidRPr="005E42F1">
        <w:rPr>
          <w:lang w:val="en"/>
        </w:rPr>
        <w:t>is</w:t>
      </w:r>
      <w:r>
        <w:rPr>
          <w:lang w:val="en"/>
        </w:rPr>
        <w:t>largely</w:t>
      </w:r>
      <w:proofErr w:type="spellEnd"/>
      <w:proofErr w:type="gramEnd"/>
      <w:r>
        <w:rPr>
          <w:lang w:val="en"/>
        </w:rPr>
        <w:t xml:space="preserve"> determined by </w:t>
      </w:r>
      <w:proofErr w:type="spellStart"/>
      <w:r>
        <w:rPr>
          <w:lang w:val="en"/>
        </w:rPr>
        <w:t>theeconomic</w:t>
      </w:r>
      <w:proofErr w:type="spellEnd"/>
      <w:r>
        <w:rPr>
          <w:lang w:val="en"/>
        </w:rPr>
        <w:t>, legal, ownership, social and cultural systems. With regard to the economic system, GCG cannot be implemented partially, but must be done together.</w:t>
      </w:r>
    </w:p>
    <w:p w14:paraId="6C77059D" w14:textId="77777777" w:rsidR="00F346C4" w:rsidRDefault="00F346C4" w:rsidP="001236FB">
      <w:pPr>
        <w:ind w:firstLine="567"/>
        <w:jc w:val="both"/>
      </w:pPr>
      <w:r>
        <w:rPr>
          <w:lang w:val="en"/>
        </w:rPr>
        <w:t xml:space="preserve">Research conducted by </w:t>
      </w:r>
      <w:proofErr w:type="spellStart"/>
      <w:r>
        <w:rPr>
          <w:lang w:val="en"/>
        </w:rPr>
        <w:t>Alfinur</w:t>
      </w:r>
      <w:proofErr w:type="spellEnd"/>
      <w:r>
        <w:rPr>
          <w:lang w:val="en"/>
        </w:rPr>
        <w:t xml:space="preserve"> (2016), </w:t>
      </w:r>
      <w:proofErr w:type="spellStart"/>
      <w:r>
        <w:rPr>
          <w:lang w:val="en"/>
        </w:rPr>
        <w:t>Handayani</w:t>
      </w:r>
      <w:proofErr w:type="spellEnd"/>
      <w:r>
        <w:rPr>
          <w:lang w:val="en"/>
        </w:rPr>
        <w:t xml:space="preserve"> (2017), </w:t>
      </w:r>
      <w:proofErr w:type="spellStart"/>
      <w:r>
        <w:rPr>
          <w:lang w:val="en"/>
        </w:rPr>
        <w:t>Puteri</w:t>
      </w:r>
      <w:proofErr w:type="spellEnd"/>
      <w:r>
        <w:rPr>
          <w:lang w:val="en"/>
        </w:rPr>
        <w:t xml:space="preserve">, (2012) found that Independent Commissioners have a positive influence on the value of the company, Independent Commissioners carry out their duties and responsibilities well to the company. </w:t>
      </w:r>
    </w:p>
    <w:p w14:paraId="0B1C0FB6" w14:textId="489AC662" w:rsidR="005E42F1" w:rsidRDefault="005E42F1" w:rsidP="005E42F1">
      <w:pPr>
        <w:jc w:val="both"/>
        <w:rPr>
          <w:lang w:val="en-US"/>
        </w:rPr>
      </w:pPr>
    </w:p>
    <w:p w14:paraId="343B6CC1" w14:textId="77777777" w:rsidR="00F346C4" w:rsidRPr="00F346C4" w:rsidRDefault="00F346C4" w:rsidP="00E21335">
      <w:pPr>
        <w:jc w:val="both"/>
        <w:rPr>
          <w:b/>
          <w:bCs/>
          <w:lang w:val="en-US"/>
        </w:rPr>
      </w:pPr>
      <w:r w:rsidRPr="00F346C4">
        <w:rPr>
          <w:b/>
          <w:lang w:val="en"/>
        </w:rPr>
        <w:t>Hypothesis</w:t>
      </w:r>
    </w:p>
    <w:p w14:paraId="41DDAD9E" w14:textId="77777777" w:rsidR="00F346C4" w:rsidRDefault="00F346C4" w:rsidP="00F346C4">
      <w:pPr>
        <w:ind w:left="709" w:hanging="709"/>
        <w:jc w:val="both"/>
        <w:rPr>
          <w:lang w:val="en-US"/>
        </w:rPr>
      </w:pPr>
      <w:r>
        <w:rPr>
          <w:lang w:val="en"/>
        </w:rPr>
        <w:t>H</w:t>
      </w:r>
      <w:r w:rsidRPr="000A4096">
        <w:rPr>
          <w:sz w:val="18"/>
          <w:szCs w:val="16"/>
          <w:lang w:val="en"/>
        </w:rPr>
        <w:t>1:</w:t>
      </w:r>
      <w:proofErr w:type="gramStart"/>
      <w:r>
        <w:rPr>
          <w:lang w:val="en"/>
        </w:rPr>
        <w:tab/>
        <w:t xml:space="preserve">  </w:t>
      </w:r>
      <w:r w:rsidRPr="007D5539">
        <w:rPr>
          <w:i/>
          <w:iCs/>
          <w:lang w:val="en"/>
        </w:rPr>
        <w:t>Enterprise</w:t>
      </w:r>
      <w:proofErr w:type="gramEnd"/>
      <w:r w:rsidRPr="007D5539">
        <w:rPr>
          <w:i/>
          <w:iCs/>
          <w:lang w:val="en"/>
        </w:rPr>
        <w:t xml:space="preserve"> </w:t>
      </w:r>
      <w:r>
        <w:rPr>
          <w:lang w:val="en"/>
        </w:rPr>
        <w:t xml:space="preserve">risk management </w:t>
      </w:r>
      <w:r>
        <w:rPr>
          <w:i/>
          <w:lang w:val="en"/>
        </w:rPr>
        <w:t>d</w:t>
      </w:r>
      <w:r w:rsidRPr="007D5539">
        <w:rPr>
          <w:i/>
          <w:iCs/>
          <w:lang w:val="en"/>
        </w:rPr>
        <w:t>isclosure positive</w:t>
      </w:r>
      <w:r>
        <w:rPr>
          <w:lang w:val="en"/>
        </w:rPr>
        <w:t xml:space="preserve"> and significant effect</w:t>
      </w:r>
    </w:p>
    <w:p w14:paraId="705A68B4" w14:textId="1CD9C9C5" w:rsidR="00F346C4" w:rsidRPr="000A4096" w:rsidRDefault="00F346C4" w:rsidP="00F346C4">
      <w:pPr>
        <w:ind w:left="709" w:hanging="709"/>
        <w:jc w:val="both"/>
        <w:rPr>
          <w:lang w:val="en-US"/>
        </w:rPr>
      </w:pPr>
      <w:r>
        <w:rPr>
          <w:lang w:val="en"/>
        </w:rPr>
        <w:tab/>
        <w:t xml:space="preserve">  on company value</w:t>
      </w:r>
    </w:p>
    <w:p w14:paraId="576FA738" w14:textId="77777777" w:rsidR="00F346C4" w:rsidRDefault="00F346C4" w:rsidP="00F346C4">
      <w:pPr>
        <w:ind w:left="709" w:hanging="709"/>
        <w:jc w:val="both"/>
        <w:rPr>
          <w:lang w:val="en-US"/>
        </w:rPr>
      </w:pPr>
      <w:r w:rsidRPr="000A4096">
        <w:rPr>
          <w:sz w:val="18"/>
          <w:szCs w:val="16"/>
          <w:lang w:val="en"/>
        </w:rPr>
        <w:t>H2:</w:t>
      </w:r>
      <w:proofErr w:type="gramStart"/>
      <w:r>
        <w:rPr>
          <w:lang w:val="en"/>
        </w:rPr>
        <w:tab/>
        <w:t xml:space="preserve">  </w:t>
      </w:r>
      <w:r w:rsidRPr="007D5539">
        <w:rPr>
          <w:i/>
          <w:iCs/>
          <w:lang w:val="en"/>
        </w:rPr>
        <w:t>Intellectual</w:t>
      </w:r>
      <w:proofErr w:type="gramEnd"/>
      <w:r w:rsidRPr="007D5539">
        <w:rPr>
          <w:i/>
          <w:iCs/>
          <w:lang w:val="en"/>
        </w:rPr>
        <w:t xml:space="preserve"> Capital</w:t>
      </w:r>
      <w:r>
        <w:rPr>
          <w:lang w:val="en"/>
        </w:rPr>
        <w:t xml:space="preserve"> </w:t>
      </w:r>
      <w:r>
        <w:rPr>
          <w:i/>
          <w:lang w:val="en"/>
        </w:rPr>
        <w:t xml:space="preserve"> disclosure</w:t>
      </w:r>
      <w:r>
        <w:rPr>
          <w:lang w:val="en"/>
        </w:rPr>
        <w:t xml:space="preserve"> has a positive and significant effect on</w:t>
      </w:r>
    </w:p>
    <w:p w14:paraId="716EE37C" w14:textId="77777777" w:rsidR="00F346C4" w:rsidRPr="003B6C77" w:rsidRDefault="00F346C4" w:rsidP="00F346C4">
      <w:pPr>
        <w:ind w:left="709" w:hanging="709"/>
        <w:jc w:val="both"/>
        <w:rPr>
          <w:i/>
          <w:iCs/>
          <w:lang w:val="en-US"/>
        </w:rPr>
      </w:pPr>
      <w:r w:rsidRPr="003B6C77">
        <w:rPr>
          <w:lang w:val="en"/>
        </w:rPr>
        <w:t xml:space="preserve">              company value</w:t>
      </w:r>
    </w:p>
    <w:p w14:paraId="461A0B93" w14:textId="77777777" w:rsidR="00F346C4" w:rsidRDefault="00F346C4" w:rsidP="00F346C4">
      <w:pPr>
        <w:ind w:left="709" w:hanging="709"/>
        <w:jc w:val="both"/>
        <w:rPr>
          <w:i/>
          <w:iCs/>
          <w:lang w:val="en-US"/>
        </w:rPr>
      </w:pPr>
      <w:r w:rsidRPr="003B6C77">
        <w:rPr>
          <w:sz w:val="18"/>
          <w:szCs w:val="16"/>
          <w:lang w:val="en"/>
        </w:rPr>
        <w:t>H3:</w:t>
      </w:r>
      <w:proofErr w:type="gramStart"/>
      <w:r>
        <w:rPr>
          <w:lang w:val="en"/>
        </w:rPr>
        <w:tab/>
        <w:t xml:space="preserve"> </w:t>
      </w:r>
      <w:r w:rsidRPr="003B6C77">
        <w:rPr>
          <w:i/>
          <w:lang w:val="en"/>
        </w:rPr>
        <w:t xml:space="preserve"> Good</w:t>
      </w:r>
      <w:proofErr w:type="gramEnd"/>
      <w:r w:rsidRPr="003B6C77">
        <w:rPr>
          <w:i/>
          <w:lang w:val="en"/>
        </w:rPr>
        <w:t xml:space="preserve"> corporate</w:t>
      </w:r>
      <w:r>
        <w:rPr>
          <w:lang w:val="en"/>
        </w:rPr>
        <w:t xml:space="preserve"> </w:t>
      </w:r>
      <w:r w:rsidRPr="00567425">
        <w:rPr>
          <w:i/>
          <w:lang w:val="en"/>
        </w:rPr>
        <w:t xml:space="preserve"> governance strengthens </w:t>
      </w:r>
      <w:r>
        <w:rPr>
          <w:lang w:val="en"/>
        </w:rPr>
        <w:t xml:space="preserve"> the influence of enterprise </w:t>
      </w:r>
      <w:r w:rsidRPr="008C33CC">
        <w:rPr>
          <w:i/>
          <w:lang w:val="en"/>
        </w:rPr>
        <w:t>risk</w:t>
      </w:r>
    </w:p>
    <w:p w14:paraId="703AE63C" w14:textId="77777777" w:rsidR="00F346C4" w:rsidRDefault="00F346C4" w:rsidP="00F346C4">
      <w:pPr>
        <w:ind w:left="709" w:hanging="709"/>
        <w:jc w:val="both"/>
        <w:rPr>
          <w:lang w:val="en-US"/>
        </w:rPr>
      </w:pPr>
      <w:r w:rsidRPr="008C33CC">
        <w:rPr>
          <w:i/>
          <w:lang w:val="en"/>
        </w:rPr>
        <w:t xml:space="preserve">              management </w:t>
      </w:r>
      <w:proofErr w:type="gramStart"/>
      <w:r w:rsidRPr="008C33CC">
        <w:rPr>
          <w:i/>
          <w:lang w:val="en"/>
        </w:rPr>
        <w:t xml:space="preserve">disclosure </w:t>
      </w:r>
      <w:r>
        <w:rPr>
          <w:lang w:val="en"/>
        </w:rPr>
        <w:t xml:space="preserve"> of</w:t>
      </w:r>
      <w:proofErr w:type="gramEnd"/>
      <w:r>
        <w:rPr>
          <w:lang w:val="en"/>
        </w:rPr>
        <w:t xml:space="preserve"> the company's value</w:t>
      </w:r>
    </w:p>
    <w:p w14:paraId="1E9F71DA" w14:textId="77777777" w:rsidR="00F346C4" w:rsidRDefault="00F346C4" w:rsidP="00F346C4">
      <w:pPr>
        <w:ind w:left="709" w:hanging="709"/>
        <w:jc w:val="both"/>
        <w:rPr>
          <w:i/>
          <w:iCs/>
          <w:lang w:val="en-US"/>
        </w:rPr>
      </w:pPr>
      <w:r>
        <w:rPr>
          <w:lang w:val="en"/>
        </w:rPr>
        <w:t>H</w:t>
      </w:r>
      <w:r w:rsidRPr="008C33CC">
        <w:rPr>
          <w:sz w:val="18"/>
          <w:szCs w:val="16"/>
          <w:lang w:val="en"/>
        </w:rPr>
        <w:t>4:</w:t>
      </w:r>
      <w:proofErr w:type="gramStart"/>
      <w:r>
        <w:rPr>
          <w:lang w:val="en"/>
        </w:rPr>
        <w:tab/>
        <w:t xml:space="preserve">  </w:t>
      </w:r>
      <w:r w:rsidRPr="008C33CC">
        <w:rPr>
          <w:i/>
          <w:lang w:val="en"/>
        </w:rPr>
        <w:t>Good</w:t>
      </w:r>
      <w:proofErr w:type="gramEnd"/>
      <w:r w:rsidRPr="008C33CC">
        <w:rPr>
          <w:i/>
          <w:lang w:val="en"/>
        </w:rPr>
        <w:t xml:space="preserve"> corporate</w:t>
      </w:r>
      <w:r>
        <w:rPr>
          <w:lang w:val="en"/>
        </w:rPr>
        <w:t xml:space="preserve"> governance</w:t>
      </w:r>
      <w:r w:rsidRPr="00567425">
        <w:rPr>
          <w:i/>
          <w:lang w:val="en"/>
        </w:rPr>
        <w:t xml:space="preserve"> strengthens</w:t>
      </w:r>
      <w:r>
        <w:rPr>
          <w:lang w:val="en"/>
        </w:rPr>
        <w:t xml:space="preserve"> the influence of </w:t>
      </w:r>
      <w:r w:rsidRPr="008C33CC">
        <w:rPr>
          <w:i/>
          <w:lang w:val="en"/>
        </w:rPr>
        <w:t>intellectual capital</w:t>
      </w:r>
    </w:p>
    <w:p w14:paraId="65DF7AF4" w14:textId="3ACF1244" w:rsidR="00F346C4" w:rsidRDefault="00F346C4" w:rsidP="00F346C4">
      <w:pPr>
        <w:ind w:left="709" w:hanging="709"/>
        <w:jc w:val="both"/>
        <w:rPr>
          <w:lang w:val="en"/>
        </w:rPr>
      </w:pPr>
      <w:r w:rsidRPr="008C33CC">
        <w:rPr>
          <w:i/>
          <w:lang w:val="en"/>
        </w:rPr>
        <w:t xml:space="preserve">              disclosure</w:t>
      </w:r>
      <w:r>
        <w:rPr>
          <w:lang w:val="en"/>
        </w:rPr>
        <w:t xml:space="preserve"> of the value of the company </w:t>
      </w:r>
    </w:p>
    <w:p w14:paraId="34FC857C" w14:textId="77777777" w:rsidR="00F346C4" w:rsidRDefault="00F346C4" w:rsidP="00F346C4">
      <w:pPr>
        <w:ind w:left="709" w:hanging="709"/>
        <w:jc w:val="both"/>
        <w:rPr>
          <w:lang w:val="en-US"/>
        </w:rPr>
      </w:pPr>
    </w:p>
    <w:p w14:paraId="165C2F29" w14:textId="60E9F021" w:rsidR="005E42F1" w:rsidRPr="004B6C5B" w:rsidRDefault="005E42F1" w:rsidP="005E42F1">
      <w:pPr>
        <w:pStyle w:val="ListParagraph"/>
        <w:numPr>
          <w:ilvl w:val="0"/>
          <w:numId w:val="2"/>
        </w:numPr>
        <w:tabs>
          <w:tab w:val="clear" w:pos="720"/>
          <w:tab w:val="num" w:pos="426"/>
        </w:tabs>
        <w:ind w:left="426" w:hanging="426"/>
        <w:jc w:val="both"/>
        <w:rPr>
          <w:b/>
          <w:bCs/>
          <w:lang w:val="en-US"/>
        </w:rPr>
      </w:pPr>
      <w:r w:rsidRPr="004B6C5B">
        <w:rPr>
          <w:b/>
          <w:bCs/>
          <w:lang w:val="en"/>
        </w:rPr>
        <w:t>Research Methodology</w:t>
      </w:r>
    </w:p>
    <w:p w14:paraId="093E92A1" w14:textId="77777777" w:rsidR="00F346C4" w:rsidRPr="00B8116E" w:rsidRDefault="00F346C4" w:rsidP="003E34F5">
      <w:pPr>
        <w:pStyle w:val="ListParagraph"/>
        <w:ind w:left="0" w:firstLine="567"/>
        <w:jc w:val="both"/>
        <w:rPr>
          <w:szCs w:val="24"/>
        </w:rPr>
      </w:pPr>
      <w:r w:rsidRPr="00B8116E">
        <w:rPr>
          <w:szCs w:val="24"/>
          <w:lang w:val="en"/>
        </w:rPr>
        <w:t xml:space="preserve">This research is a quantitative and causality study, where this study is a study that uses data on the financial statements of non-financial companies of basic and chemical industry sub-sectors listed on the Indonesia Stock Exchange, this study aims to test the influence </w:t>
      </w:r>
      <w:r>
        <w:rPr>
          <w:lang w:val="en"/>
        </w:rPr>
        <w:t xml:space="preserve"> </w:t>
      </w:r>
      <w:r w:rsidRPr="00B8116E">
        <w:rPr>
          <w:szCs w:val="24"/>
          <w:lang w:val="en"/>
        </w:rPr>
        <w:t xml:space="preserve">between free variables on bound variables </w:t>
      </w:r>
      <w:r>
        <w:rPr>
          <w:lang w:val="en"/>
        </w:rPr>
        <w:t xml:space="preserve"> </w:t>
      </w:r>
      <w:r w:rsidRPr="00B8116E">
        <w:rPr>
          <w:szCs w:val="24"/>
          <w:lang w:val="en"/>
        </w:rPr>
        <w:t>as well as</w:t>
      </w:r>
      <w:r>
        <w:rPr>
          <w:lang w:val="en"/>
        </w:rPr>
        <w:t xml:space="preserve"> the influence of</w:t>
      </w:r>
      <w:r w:rsidRPr="00B8116E">
        <w:rPr>
          <w:szCs w:val="24"/>
          <w:lang w:val="en"/>
        </w:rPr>
        <w:t xml:space="preserve"> variables moderation on the relationship between </w:t>
      </w:r>
      <w:r>
        <w:rPr>
          <w:lang w:val="en"/>
        </w:rPr>
        <w:t xml:space="preserve">free </w:t>
      </w:r>
      <w:r w:rsidRPr="00B8116E">
        <w:rPr>
          <w:szCs w:val="24"/>
          <w:lang w:val="en"/>
        </w:rPr>
        <w:t xml:space="preserve">variables </w:t>
      </w:r>
      <w:r>
        <w:rPr>
          <w:lang w:val="en"/>
        </w:rPr>
        <w:t xml:space="preserve"> </w:t>
      </w:r>
      <w:r w:rsidRPr="00B8116E">
        <w:rPr>
          <w:szCs w:val="24"/>
          <w:lang w:val="en"/>
        </w:rPr>
        <w:t xml:space="preserve">and </w:t>
      </w:r>
      <w:r>
        <w:rPr>
          <w:lang w:val="en"/>
        </w:rPr>
        <w:t xml:space="preserve"> </w:t>
      </w:r>
      <w:r w:rsidRPr="00B8116E">
        <w:rPr>
          <w:szCs w:val="24"/>
          <w:lang w:val="en"/>
        </w:rPr>
        <w:t xml:space="preserve">bound variables. . </w:t>
      </w:r>
    </w:p>
    <w:p w14:paraId="408BF066" w14:textId="77777777" w:rsidR="00F346C4" w:rsidRDefault="00F346C4" w:rsidP="003E34F5">
      <w:pPr>
        <w:pStyle w:val="ListParagraph"/>
        <w:ind w:left="0" w:firstLine="567"/>
        <w:jc w:val="both"/>
        <w:rPr>
          <w:szCs w:val="24"/>
          <w:lang w:val="en-US"/>
        </w:rPr>
      </w:pPr>
      <w:r>
        <w:rPr>
          <w:szCs w:val="24"/>
          <w:lang w:val="en"/>
        </w:rPr>
        <w:t>The population used in this study is all non-financial companies of basic and chemical industry sub-sectors listed on the Indonesia Stock Exchange in the period 2016-2019.</w:t>
      </w:r>
      <w:r>
        <w:rPr>
          <w:lang w:val="en"/>
        </w:rPr>
        <w:t xml:space="preserve"> </w:t>
      </w:r>
      <w:r>
        <w:rPr>
          <w:szCs w:val="24"/>
          <w:lang w:val="en"/>
        </w:rPr>
        <w:t>The sample filtration method uses purposive sampling method that produces 61 companies with 4 years of observation so that the data observed amounted to 244</w:t>
      </w:r>
    </w:p>
    <w:p w14:paraId="53923E96" w14:textId="77777777" w:rsidR="00F346C4" w:rsidRDefault="00F346C4" w:rsidP="003E34F5">
      <w:pPr>
        <w:ind w:firstLine="567"/>
        <w:jc w:val="both"/>
      </w:pPr>
      <w:r>
        <w:rPr>
          <w:lang w:val="en"/>
        </w:rPr>
        <w:lastRenderedPageBreak/>
        <w:t>The value of the Company is a market value that is able to provide maximum prosperity for shareholders if the company's stock price increases (Ross, et al., (2013). The value of the company is the main thing for the company, if the value of the company is high then the welfare of shareholders is also high. The more the stock increases, the higher the value of the company. The value of the company is measured by Tobin's Q:</w:t>
      </w:r>
    </w:p>
    <w:p w14:paraId="220F56BA" w14:textId="77777777" w:rsidR="000406FC" w:rsidRPr="005033ED" w:rsidRDefault="000406FC" w:rsidP="000406FC">
      <w:pPr>
        <w:jc w:val="both"/>
        <w:rPr>
          <w:rFonts w:eastAsiaTheme="minorEastAsia"/>
        </w:rPr>
      </w:pPr>
      <m:oMathPara>
        <m:oMath>
          <m:r>
            <w:rPr>
              <w:rFonts w:ascii="Cambria Math" w:hAnsi="Cambria Math"/>
            </w:rPr>
            <m:t>Tobi</m:t>
          </m:r>
          <m:sSup>
            <m:sSupPr>
              <m:ctrlPr>
                <w:rPr>
                  <w:rFonts w:ascii="Cambria Math" w:hAnsi="Cambria Math"/>
                  <w:i/>
                </w:rPr>
              </m:ctrlPr>
            </m:sSupPr>
            <m:e>
              <m:r>
                <w:rPr>
                  <w:rFonts w:ascii="Cambria Math" w:hAnsi="Cambria Math"/>
                </w:rPr>
                <m:t>n</m:t>
              </m:r>
            </m:e>
            <m:sup>
              <m:r>
                <w:rPr>
                  <w:rFonts w:ascii="Cambria Math" w:hAnsi="Cambria Math"/>
                </w:rPr>
                <m:t>'</m:t>
              </m:r>
            </m:sup>
          </m:sSup>
          <m:r>
            <w:rPr>
              <w:rFonts w:ascii="Cambria Math" w:hAnsi="Cambria Math"/>
            </w:rPr>
            <m:t>s Q=</m:t>
          </m:r>
          <m:f>
            <m:fPr>
              <m:ctrlPr>
                <w:rPr>
                  <w:rFonts w:ascii="Cambria Math" w:eastAsia="Calibri" w:hAnsi="Cambria Math"/>
                  <w:i/>
                </w:rPr>
              </m:ctrlPr>
            </m:fPr>
            <m:num>
              <m:r>
                <w:rPr>
                  <w:rFonts w:ascii="Cambria Math" w:hAnsi="Cambria Math"/>
                </w:rPr>
                <m:t>MVS+D</m:t>
              </m:r>
            </m:num>
            <m:den>
              <m:r>
                <w:rPr>
                  <w:rFonts w:ascii="Cambria Math" w:hAnsi="Cambria Math"/>
                </w:rPr>
                <m:t>Total Aset</m:t>
              </m:r>
            </m:den>
          </m:f>
        </m:oMath>
      </m:oMathPara>
    </w:p>
    <w:p w14:paraId="5F6BE2DF" w14:textId="77777777" w:rsidR="00F346C4" w:rsidRPr="00E11402" w:rsidRDefault="00F346C4" w:rsidP="00045720">
      <w:pPr>
        <w:jc w:val="both"/>
        <w:rPr>
          <w:b/>
          <w:bCs/>
        </w:rPr>
      </w:pPr>
      <w:r w:rsidRPr="00E11402">
        <w:rPr>
          <w:b/>
          <w:bCs/>
          <w:lang w:val="en"/>
        </w:rPr>
        <w:t>Description:</w:t>
      </w:r>
    </w:p>
    <w:p w14:paraId="48EB6B70" w14:textId="77777777" w:rsidR="00F346C4" w:rsidRDefault="00F346C4" w:rsidP="00045720">
      <w:pPr>
        <w:jc w:val="both"/>
      </w:pPr>
      <w:proofErr w:type="spellStart"/>
      <w:r>
        <w:rPr>
          <w:lang w:val="en"/>
        </w:rPr>
        <w:t>Tobins</w:t>
      </w:r>
      <w:proofErr w:type="spellEnd"/>
      <w:r>
        <w:rPr>
          <w:lang w:val="en"/>
        </w:rPr>
        <w:t xml:space="preserve"> Q   </w:t>
      </w:r>
      <w:r>
        <w:rPr>
          <w:lang w:val="en"/>
        </w:rPr>
        <w:tab/>
      </w:r>
      <w:proofErr w:type="gramStart"/>
      <w:r>
        <w:rPr>
          <w:lang w:val="en"/>
        </w:rPr>
        <w:tab/>
        <w:t xml:space="preserve">  =</w:t>
      </w:r>
      <w:proofErr w:type="gramEnd"/>
      <w:r>
        <w:rPr>
          <w:lang w:val="en"/>
        </w:rPr>
        <w:t xml:space="preserve"> Company Value </w:t>
      </w:r>
    </w:p>
    <w:p w14:paraId="0A858D25" w14:textId="77777777" w:rsidR="00F346C4" w:rsidRDefault="00F346C4" w:rsidP="00045720">
      <w:pPr>
        <w:tabs>
          <w:tab w:val="left" w:pos="2268"/>
          <w:tab w:val="left" w:pos="2410"/>
        </w:tabs>
        <w:autoSpaceDE w:val="0"/>
        <w:autoSpaceDN w:val="0"/>
        <w:adjustRightInd w:val="0"/>
        <w:ind w:left="2410" w:hanging="2410"/>
        <w:rPr>
          <w:szCs w:val="24"/>
          <w:lang w:val="en-ID"/>
        </w:rPr>
      </w:pPr>
      <w:r>
        <w:rPr>
          <w:szCs w:val="24"/>
          <w:lang w:val="en"/>
        </w:rPr>
        <w:t>MVS</w:t>
      </w:r>
      <w:r>
        <w:rPr>
          <w:szCs w:val="24"/>
          <w:lang w:val="en"/>
        </w:rPr>
        <w:tab/>
        <w:t>= Stock Market Value derived from the results of multiplication of the number of shares outstanding at the share price</w:t>
      </w:r>
    </w:p>
    <w:p w14:paraId="408475AB" w14:textId="77777777" w:rsidR="00F346C4" w:rsidRDefault="00F346C4" w:rsidP="00045720">
      <w:pPr>
        <w:tabs>
          <w:tab w:val="left" w:pos="2268"/>
          <w:tab w:val="left" w:pos="2410"/>
        </w:tabs>
        <w:autoSpaceDE w:val="0"/>
        <w:autoSpaceDN w:val="0"/>
        <w:adjustRightInd w:val="0"/>
        <w:ind w:left="2410" w:hanging="2410"/>
        <w:rPr>
          <w:szCs w:val="24"/>
          <w:lang w:val="en-ID"/>
        </w:rPr>
      </w:pPr>
      <w:r>
        <w:rPr>
          <w:szCs w:val="24"/>
          <w:lang w:val="en"/>
        </w:rPr>
        <w:t>D</w:t>
      </w:r>
      <w:r>
        <w:rPr>
          <w:szCs w:val="24"/>
          <w:lang w:val="en"/>
        </w:rPr>
        <w:tab/>
        <w:t>=</w:t>
      </w:r>
      <w:r>
        <w:rPr>
          <w:szCs w:val="24"/>
          <w:lang w:val="en"/>
        </w:rPr>
        <w:tab/>
        <w:t xml:space="preserve">Market Value Of Debt derived from proceeds (Current </w:t>
      </w:r>
      <w:proofErr w:type="gramStart"/>
      <w:r>
        <w:rPr>
          <w:szCs w:val="24"/>
          <w:lang w:val="en"/>
        </w:rPr>
        <w:t xml:space="preserve">liabilities </w:t>
      </w:r>
      <w:r>
        <w:rPr>
          <w:lang w:val="en"/>
        </w:rPr>
        <w:t xml:space="preserve"> </w:t>
      </w:r>
      <w:r>
        <w:rPr>
          <w:szCs w:val="24"/>
          <w:lang w:val="en"/>
        </w:rPr>
        <w:t>–</w:t>
      </w:r>
      <w:proofErr w:type="gramEnd"/>
      <w:r>
        <w:rPr>
          <w:szCs w:val="24"/>
          <w:lang w:val="en"/>
        </w:rPr>
        <w:t xml:space="preserve"> </w:t>
      </w:r>
      <w:r>
        <w:rPr>
          <w:lang w:val="en"/>
        </w:rPr>
        <w:t xml:space="preserve">current assets </w:t>
      </w:r>
      <w:r>
        <w:rPr>
          <w:szCs w:val="24"/>
          <w:lang w:val="en"/>
        </w:rPr>
        <w:t>+ Long-term liabilities</w:t>
      </w:r>
    </w:p>
    <w:p w14:paraId="34A307EC" w14:textId="77777777" w:rsidR="00F346C4" w:rsidRDefault="00F346C4" w:rsidP="00045720">
      <w:pPr>
        <w:tabs>
          <w:tab w:val="left" w:pos="2268"/>
          <w:tab w:val="left" w:pos="2410"/>
        </w:tabs>
        <w:autoSpaceDE w:val="0"/>
        <w:autoSpaceDN w:val="0"/>
        <w:adjustRightInd w:val="0"/>
        <w:ind w:left="2410" w:hanging="2410"/>
        <w:rPr>
          <w:szCs w:val="24"/>
          <w:lang w:val="en-ID"/>
        </w:rPr>
      </w:pPr>
      <w:r>
        <w:rPr>
          <w:szCs w:val="24"/>
          <w:lang w:val="en"/>
        </w:rPr>
        <w:t>Total Assets</w:t>
      </w:r>
      <w:r>
        <w:rPr>
          <w:szCs w:val="24"/>
          <w:lang w:val="en"/>
        </w:rPr>
        <w:tab/>
        <w:t>= Total Assets of the Company</w:t>
      </w:r>
    </w:p>
    <w:p w14:paraId="6D73CAAA" w14:textId="77777777" w:rsidR="00F346C4" w:rsidRDefault="00F346C4" w:rsidP="00045720">
      <w:pPr>
        <w:jc w:val="both"/>
      </w:pPr>
      <w:r>
        <w:rPr>
          <w:lang w:val="en"/>
        </w:rPr>
        <w:t>The unit of measurement of the Q ratio is percent (%)</w:t>
      </w:r>
    </w:p>
    <w:p w14:paraId="0E32C51C" w14:textId="77777777" w:rsidR="00F346C4" w:rsidRDefault="00F346C4" w:rsidP="00045720">
      <w:pPr>
        <w:autoSpaceDE w:val="0"/>
        <w:autoSpaceDN w:val="0"/>
        <w:adjustRightInd w:val="0"/>
        <w:ind w:firstLine="720"/>
        <w:jc w:val="both"/>
        <w:rPr>
          <w:i/>
          <w:iCs/>
          <w:szCs w:val="24"/>
          <w:lang w:val="en-ID"/>
        </w:rPr>
      </w:pPr>
    </w:p>
    <w:p w14:paraId="271B729D" w14:textId="77777777" w:rsidR="00F346C4" w:rsidRDefault="000406FC" w:rsidP="00111E59">
      <w:pPr>
        <w:autoSpaceDE w:val="0"/>
        <w:autoSpaceDN w:val="0"/>
        <w:adjustRightInd w:val="0"/>
        <w:ind w:firstLine="567"/>
        <w:jc w:val="both"/>
        <w:rPr>
          <w:szCs w:val="24"/>
          <w:lang w:val="en-ID"/>
        </w:rPr>
      </w:pPr>
      <w:r>
        <w:rPr>
          <w:i/>
          <w:iCs/>
          <w:szCs w:val="24"/>
          <w:lang w:val="en-ID"/>
        </w:rPr>
        <w:t xml:space="preserve">Enterprise Risk </w:t>
      </w:r>
      <w:proofErr w:type="spellStart"/>
      <w:r>
        <w:rPr>
          <w:i/>
          <w:iCs/>
          <w:szCs w:val="24"/>
          <w:lang w:val="en-ID"/>
        </w:rPr>
        <w:t>ManagementDisclosure</w:t>
      </w:r>
      <w:proofErr w:type="spellEnd"/>
      <w:r>
        <w:rPr>
          <w:i/>
          <w:iCs/>
          <w:szCs w:val="24"/>
          <w:lang w:val="en-ID"/>
        </w:rPr>
        <w:t xml:space="preserve"> (ERM)</w:t>
      </w:r>
      <w:r w:rsidR="00F346C4">
        <w:rPr>
          <w:szCs w:val="24"/>
          <w:lang w:val="en"/>
        </w:rPr>
        <w:t>is a disclosure of risks that have been managed by the company or disclosure of the company's efforts in controlling risk (</w:t>
      </w:r>
      <w:proofErr w:type="spellStart"/>
      <w:r w:rsidR="00F346C4">
        <w:rPr>
          <w:szCs w:val="24"/>
          <w:lang w:val="en"/>
        </w:rPr>
        <w:t>Astuti</w:t>
      </w:r>
      <w:proofErr w:type="spellEnd"/>
      <w:r w:rsidR="00F346C4">
        <w:rPr>
          <w:szCs w:val="24"/>
          <w:lang w:val="en"/>
        </w:rPr>
        <w:t xml:space="preserve">, 2018). </w:t>
      </w:r>
      <w:r w:rsidR="00F346C4">
        <w:rPr>
          <w:i/>
          <w:szCs w:val="24"/>
          <w:lang w:val="en"/>
        </w:rPr>
        <w:t xml:space="preserve">Measurement </w:t>
      </w:r>
      <w:r w:rsidR="00F346C4">
        <w:rPr>
          <w:lang w:val="en"/>
        </w:rPr>
        <w:t xml:space="preserve">of Enterprise Risk Management Disclosure </w:t>
      </w:r>
      <w:r w:rsidR="00F346C4">
        <w:rPr>
          <w:szCs w:val="24"/>
          <w:lang w:val="en"/>
        </w:rPr>
        <w:t xml:space="preserve">consisting of 108 items covering eight dimensions based on </w:t>
      </w:r>
      <w:r w:rsidR="00F346C4">
        <w:rPr>
          <w:lang w:val="en"/>
        </w:rPr>
        <w:t xml:space="preserve">enterprise risk management </w:t>
      </w:r>
      <w:r w:rsidR="00F346C4">
        <w:rPr>
          <w:i/>
          <w:szCs w:val="24"/>
          <w:lang w:val="en"/>
        </w:rPr>
        <w:t xml:space="preserve">framework </w:t>
      </w:r>
      <w:r w:rsidR="00F346C4">
        <w:rPr>
          <w:lang w:val="en"/>
        </w:rPr>
        <w:t xml:space="preserve">  </w:t>
      </w:r>
      <w:r w:rsidR="00F346C4">
        <w:rPr>
          <w:szCs w:val="24"/>
          <w:lang w:val="en"/>
        </w:rPr>
        <w:t xml:space="preserve"> issued by </w:t>
      </w:r>
      <w:r w:rsidR="00F346C4">
        <w:rPr>
          <w:lang w:val="en"/>
        </w:rPr>
        <w:t xml:space="preserve"> </w:t>
      </w:r>
      <w:r w:rsidR="00F346C4">
        <w:rPr>
          <w:i/>
          <w:szCs w:val="24"/>
          <w:lang w:val="en"/>
        </w:rPr>
        <w:t xml:space="preserve">COSO, </w:t>
      </w:r>
      <w:r w:rsidR="00F346C4">
        <w:rPr>
          <w:lang w:val="en"/>
        </w:rPr>
        <w:t xml:space="preserve"> </w:t>
      </w:r>
      <w:r w:rsidR="00F346C4">
        <w:rPr>
          <w:szCs w:val="24"/>
          <w:lang w:val="en"/>
        </w:rPr>
        <w:t>namely (1) internal environment, (2) goal setting, (3) event identification, (4) risk assessment, (5) response to risk, (6) surveillance activities, (7) information and communication, and (8) monitoring</w:t>
      </w:r>
    </w:p>
    <w:p w14:paraId="5858FC65" w14:textId="6308AB7A" w:rsidR="000406FC" w:rsidRDefault="00F346C4" w:rsidP="000406FC">
      <w:pPr>
        <w:autoSpaceDE w:val="0"/>
        <w:autoSpaceDN w:val="0"/>
        <w:adjustRightInd w:val="0"/>
        <w:ind w:firstLine="567"/>
        <w:jc w:val="both"/>
        <w:rPr>
          <w:szCs w:val="24"/>
          <w:lang w:val="en-ID"/>
        </w:rPr>
      </w:pPr>
      <m:oMathPara>
        <m:oMath>
          <m:r>
            <w:rPr>
              <w:rFonts w:ascii="Cambria Math" w:hAnsi="Cambria Math"/>
              <w:szCs w:val="24"/>
              <w:lang w:val="en-ID"/>
            </w:rPr>
            <m:t>ERMD=</m:t>
          </m:r>
          <m:f>
            <m:fPr>
              <m:ctrlPr>
                <w:rPr>
                  <w:rFonts w:ascii="Cambria Math" w:hAnsi="Cambria Math"/>
                  <w:i/>
                  <w:iCs/>
                  <w:szCs w:val="24"/>
                  <w:lang w:val="en-ID"/>
                </w:rPr>
              </m:ctrlPr>
            </m:fPr>
            <m:num>
              <m:r>
                <w:rPr>
                  <w:rFonts w:ascii="Cambria Math" w:hAnsi="Cambria Math"/>
                  <w:szCs w:val="24"/>
                  <w:lang w:val="en-ID"/>
                </w:rPr>
                <m:t>Jumlah Total Pengungkapan ERMD</m:t>
              </m:r>
            </m:num>
            <m:den>
              <m:r>
                <w:rPr>
                  <w:rFonts w:ascii="Cambria Math" w:hAnsi="Cambria Math"/>
                  <w:szCs w:val="24"/>
                  <w:lang w:val="en-ID"/>
                </w:rPr>
                <m:t>Skor Maksimal ERMD</m:t>
              </m:r>
            </m:den>
          </m:f>
        </m:oMath>
      </m:oMathPara>
    </w:p>
    <w:p w14:paraId="68D783E2" w14:textId="77777777" w:rsidR="000406FC" w:rsidRDefault="000406FC" w:rsidP="000406FC">
      <w:pPr>
        <w:autoSpaceDE w:val="0"/>
        <w:autoSpaceDN w:val="0"/>
        <w:adjustRightInd w:val="0"/>
        <w:ind w:firstLine="567"/>
        <w:jc w:val="both"/>
      </w:pPr>
    </w:p>
    <w:p w14:paraId="2EEB6319" w14:textId="28C2AE54" w:rsidR="000406FC" w:rsidRDefault="00F346C4" w:rsidP="000406FC">
      <w:pPr>
        <w:ind w:firstLine="567"/>
        <w:jc w:val="both"/>
      </w:pPr>
      <w:r>
        <w:rPr>
          <w:lang w:val="en"/>
        </w:rPr>
        <w:t xml:space="preserve">According to </w:t>
      </w:r>
      <w:proofErr w:type="spellStart"/>
      <w:r>
        <w:rPr>
          <w:lang w:val="en"/>
        </w:rPr>
        <w:t>Octaviany</w:t>
      </w:r>
      <w:proofErr w:type="spellEnd"/>
      <w:r>
        <w:rPr>
          <w:lang w:val="en"/>
        </w:rPr>
        <w:t xml:space="preserve"> (2015) </w:t>
      </w:r>
      <w:r w:rsidRPr="005033ED">
        <w:rPr>
          <w:i/>
          <w:iCs/>
          <w:lang w:val="en"/>
        </w:rPr>
        <w:t xml:space="preserve">intellectual </w:t>
      </w:r>
      <w:proofErr w:type="gramStart"/>
      <w:r w:rsidRPr="005033ED">
        <w:rPr>
          <w:i/>
          <w:iCs/>
          <w:lang w:val="en"/>
        </w:rPr>
        <w:t>capital</w:t>
      </w:r>
      <w:r>
        <w:rPr>
          <w:lang w:val="en"/>
        </w:rPr>
        <w:t xml:space="preserve">  is</w:t>
      </w:r>
      <w:proofErr w:type="gramEnd"/>
      <w:r>
        <w:rPr>
          <w:lang w:val="en"/>
        </w:rPr>
        <w:t xml:space="preserve"> a matter related to knowledge and technology that can produce the value of the company such as excellence in competition based on several main components </w:t>
      </w:r>
      <w:r w:rsidRPr="005033ED">
        <w:rPr>
          <w:i/>
          <w:iCs/>
          <w:lang w:val="en"/>
        </w:rPr>
        <w:t>of intellectual capital</w:t>
      </w:r>
      <w:r>
        <w:rPr>
          <w:lang w:val="en"/>
        </w:rPr>
        <w:t xml:space="preserve"> such as  </w:t>
      </w:r>
      <w:r w:rsidRPr="005033ED">
        <w:rPr>
          <w:i/>
          <w:iCs/>
          <w:lang w:val="en"/>
        </w:rPr>
        <w:t>human capital,</w:t>
      </w:r>
      <w:r>
        <w:rPr>
          <w:lang w:val="en"/>
        </w:rPr>
        <w:t xml:space="preserve">  </w:t>
      </w:r>
      <w:r w:rsidRPr="005033ED">
        <w:rPr>
          <w:i/>
          <w:iCs/>
          <w:lang w:val="en"/>
        </w:rPr>
        <w:t xml:space="preserve">structural </w:t>
      </w:r>
      <w:proofErr w:type="spellStart"/>
      <w:r w:rsidRPr="005033ED">
        <w:rPr>
          <w:i/>
          <w:iCs/>
          <w:lang w:val="en"/>
        </w:rPr>
        <w:t>capital,</w:t>
      </w:r>
      <w:r>
        <w:rPr>
          <w:lang w:val="en"/>
        </w:rPr>
        <w:t>and</w:t>
      </w:r>
      <w:proofErr w:type="spellEnd"/>
      <w:r>
        <w:rPr>
          <w:lang w:val="en"/>
        </w:rPr>
        <w:t xml:space="preserve">  </w:t>
      </w:r>
      <w:r w:rsidRPr="005033ED">
        <w:rPr>
          <w:i/>
          <w:iCs/>
          <w:lang w:val="en"/>
        </w:rPr>
        <w:t>customer capital.</w:t>
      </w:r>
      <w:r>
        <w:rPr>
          <w:lang w:val="en"/>
        </w:rPr>
        <w:t xml:space="preserve">   </w:t>
      </w:r>
      <w:r w:rsidRPr="005033ED">
        <w:rPr>
          <w:i/>
          <w:iCs/>
          <w:lang w:val="en"/>
        </w:rPr>
        <w:t xml:space="preserve">Intellectual </w:t>
      </w:r>
      <w:proofErr w:type="gramStart"/>
      <w:r w:rsidRPr="005033ED">
        <w:rPr>
          <w:i/>
          <w:iCs/>
          <w:lang w:val="en"/>
        </w:rPr>
        <w:t>capital</w:t>
      </w:r>
      <w:r>
        <w:rPr>
          <w:lang w:val="en"/>
        </w:rPr>
        <w:t xml:space="preserve">  with</w:t>
      </w:r>
      <w:proofErr w:type="gramEnd"/>
      <w:r>
        <w:rPr>
          <w:lang w:val="en"/>
        </w:rPr>
        <w:t xml:space="preserve"> corporate values is something that cannot be separated. </w:t>
      </w:r>
      <w:r w:rsidRPr="00DC5253">
        <w:rPr>
          <w:i/>
          <w:iCs/>
          <w:lang w:val="en"/>
        </w:rPr>
        <w:t xml:space="preserve">Intellectual Capital </w:t>
      </w:r>
      <w:proofErr w:type="gramStart"/>
      <w:r w:rsidRPr="00DC5253">
        <w:rPr>
          <w:i/>
          <w:iCs/>
          <w:lang w:val="en"/>
        </w:rPr>
        <w:t>Disclosures</w:t>
      </w:r>
      <w:r>
        <w:rPr>
          <w:lang w:val="en"/>
        </w:rPr>
        <w:t xml:space="preserve">  is</w:t>
      </w:r>
      <w:proofErr w:type="gramEnd"/>
      <w:r>
        <w:rPr>
          <w:lang w:val="en"/>
        </w:rPr>
        <w:t xml:space="preserve"> the amount of disclosure of information about </w:t>
      </w:r>
      <w:proofErr w:type="spellStart"/>
      <w:r>
        <w:rPr>
          <w:lang w:val="en"/>
        </w:rPr>
        <w:t>ic</w:t>
      </w:r>
      <w:proofErr w:type="spellEnd"/>
      <w:r>
        <w:rPr>
          <w:lang w:val="en"/>
        </w:rPr>
        <w:t xml:space="preserve"> presented in the company's annual report (</w:t>
      </w:r>
      <w:proofErr w:type="spellStart"/>
      <w:r>
        <w:rPr>
          <w:lang w:val="en"/>
        </w:rPr>
        <w:t>Ulum</w:t>
      </w:r>
      <w:proofErr w:type="spellEnd"/>
      <w:r>
        <w:rPr>
          <w:lang w:val="en"/>
        </w:rPr>
        <w:t>, 2015)</w:t>
      </w:r>
      <w:r w:rsidR="000406FC">
        <w:t>.</w:t>
      </w:r>
    </w:p>
    <w:p w14:paraId="17458270" w14:textId="77777777" w:rsidR="000406FC" w:rsidRPr="00E11402" w:rsidRDefault="000406FC" w:rsidP="000406FC">
      <w:pPr>
        <w:ind w:firstLine="567"/>
        <w:jc w:val="both"/>
        <w:rPr>
          <w:rFonts w:eastAsiaTheme="minorEastAsia"/>
        </w:rPr>
      </w:pPr>
      <m:oMathPara>
        <m:oMath>
          <m:r>
            <w:rPr>
              <w:rFonts w:ascii="Cambria Math" w:hAnsi="Cambria Math"/>
            </w:rPr>
            <m:t>ICD=</m:t>
          </m:r>
          <m:f>
            <m:fPr>
              <m:ctrlPr>
                <w:rPr>
                  <w:rFonts w:ascii="Cambria Math" w:hAnsi="Cambria Math"/>
                  <w:i/>
                </w:rPr>
              </m:ctrlPr>
            </m:fPr>
            <m:num>
              <m:r>
                <m:rPr>
                  <m:sty m:val="p"/>
                </m:rPr>
                <w:rPr>
                  <w:rFonts w:ascii="Cambria Math" w:hAnsi="Cambria Math"/>
                </w:rPr>
                <m:t>Σ</m:t>
              </m:r>
              <m:r>
                <w:rPr>
                  <w:rFonts w:ascii="Cambria Math" w:hAnsi="Cambria Math"/>
                </w:rPr>
                <m:t>ijiDitem</m:t>
              </m:r>
            </m:num>
            <m:den>
              <m:r>
                <m:rPr>
                  <m:sty m:val="p"/>
                </m:rPr>
                <w:rPr>
                  <w:rFonts w:ascii="Cambria Math" w:hAnsi="Cambria Math"/>
                </w:rPr>
                <m:t>Σ</m:t>
              </m:r>
              <m:r>
                <w:rPr>
                  <w:rFonts w:ascii="Cambria Math" w:hAnsi="Cambria Math"/>
                </w:rPr>
                <m:t>ijAitem</m:t>
              </m:r>
            </m:den>
          </m:f>
        </m:oMath>
      </m:oMathPara>
    </w:p>
    <w:p w14:paraId="01605DC9" w14:textId="77777777" w:rsidR="00F346C4" w:rsidRPr="00E11402" w:rsidRDefault="00F346C4" w:rsidP="00B56548">
      <w:pPr>
        <w:ind w:firstLine="567"/>
        <w:jc w:val="both"/>
        <w:rPr>
          <w:b/>
          <w:bCs/>
          <w:u w:val="single"/>
        </w:rPr>
      </w:pPr>
      <w:r w:rsidRPr="00E11402">
        <w:rPr>
          <w:b/>
          <w:bCs/>
          <w:u w:val="single"/>
          <w:lang w:val="en"/>
        </w:rPr>
        <w:t>Information</w:t>
      </w:r>
    </w:p>
    <w:p w14:paraId="68FA8C82" w14:textId="77777777" w:rsidR="00F346C4" w:rsidRDefault="00F346C4" w:rsidP="00B56548">
      <w:pPr>
        <w:ind w:firstLine="567"/>
        <w:jc w:val="both"/>
      </w:pPr>
      <w:r>
        <w:rPr>
          <w:lang w:val="en"/>
        </w:rPr>
        <w:t xml:space="preserve">ICD </w:t>
      </w:r>
      <w:r>
        <w:rPr>
          <w:lang w:val="en"/>
        </w:rPr>
        <w:tab/>
      </w:r>
      <w:r>
        <w:rPr>
          <w:lang w:val="en"/>
        </w:rPr>
        <w:tab/>
        <w:t xml:space="preserve">: Intellectual Capital Disclosure                    </w:t>
      </w:r>
    </w:p>
    <w:p w14:paraId="6EED42AC" w14:textId="5C21A0B1" w:rsidR="00F346C4" w:rsidRDefault="00F346C4" w:rsidP="00B56548">
      <w:pPr>
        <w:ind w:firstLine="567"/>
        <w:jc w:val="both"/>
      </w:pPr>
      <w:proofErr w:type="spellStart"/>
      <w:r>
        <w:rPr>
          <w:lang w:val="en"/>
        </w:rPr>
        <w:t>ΣijDitem</w:t>
      </w:r>
      <w:proofErr w:type="spellEnd"/>
      <w:r>
        <w:rPr>
          <w:lang w:val="en"/>
        </w:rPr>
        <w:tab/>
      </w:r>
      <w:r>
        <w:rPr>
          <w:lang w:val="en"/>
        </w:rPr>
        <w:tab/>
        <w:t xml:space="preserve">: Total </w:t>
      </w:r>
      <w:r>
        <w:rPr>
          <w:lang w:val="en"/>
        </w:rPr>
        <w:tab/>
        <w:t xml:space="preserve">ICD Item Score disclosed </w:t>
      </w:r>
    </w:p>
    <w:p w14:paraId="076F53F4" w14:textId="111E9280" w:rsidR="000406FC" w:rsidRDefault="00F346C4" w:rsidP="000406FC">
      <w:pPr>
        <w:ind w:firstLine="567"/>
        <w:jc w:val="both"/>
      </w:pPr>
      <w:proofErr w:type="spellStart"/>
      <w:r>
        <w:rPr>
          <w:lang w:val="en"/>
        </w:rPr>
        <w:t>ΣijADitem</w:t>
      </w:r>
      <w:proofErr w:type="spellEnd"/>
      <w:r>
        <w:rPr>
          <w:lang w:val="en"/>
        </w:rPr>
        <w:tab/>
        <w:t xml:space="preserve">: Total </w:t>
      </w:r>
      <w:r>
        <w:rPr>
          <w:lang w:val="en"/>
        </w:rPr>
        <w:tab/>
        <w:t>ICD Items that should be revealed</w:t>
      </w:r>
      <w:r w:rsidR="000406FC">
        <w:t>an</w:t>
      </w:r>
    </w:p>
    <w:p w14:paraId="54F47754" w14:textId="77777777" w:rsidR="000406FC" w:rsidRDefault="000406FC" w:rsidP="000406FC">
      <w:pPr>
        <w:ind w:firstLine="567"/>
        <w:jc w:val="both"/>
      </w:pPr>
    </w:p>
    <w:p w14:paraId="078EB6E4" w14:textId="77777777" w:rsidR="00F346C4" w:rsidRDefault="000406FC" w:rsidP="00767F4A">
      <w:pPr>
        <w:ind w:firstLine="567"/>
        <w:jc w:val="both"/>
      </w:pPr>
      <w:r>
        <w:t xml:space="preserve">Good Corporate Governance </w:t>
      </w:r>
      <w:r w:rsidR="00F346C4" w:rsidRPr="00E11402">
        <w:rPr>
          <w:lang w:val="en"/>
        </w:rPr>
        <w:t>Is a good governance system as a system that regulates the relationship of the role of the Board of Commissioners, the role of the Board of Directors, shareholders and other stakeholders. Good corporate governance is also referred to as a transparent process for the determination of the company's goals, achievements, and performance assessments (</w:t>
      </w:r>
      <w:proofErr w:type="spellStart"/>
      <w:r w:rsidR="00F346C4" w:rsidRPr="00E11402">
        <w:rPr>
          <w:lang w:val="en"/>
        </w:rPr>
        <w:t>Sukrisno</w:t>
      </w:r>
      <w:proofErr w:type="spellEnd"/>
      <w:r w:rsidR="00F346C4" w:rsidRPr="00E11402">
        <w:rPr>
          <w:lang w:val="en"/>
        </w:rPr>
        <w:t xml:space="preserve"> </w:t>
      </w:r>
      <w:proofErr w:type="spellStart"/>
      <w:r w:rsidR="00F346C4" w:rsidRPr="00E11402">
        <w:rPr>
          <w:lang w:val="en"/>
        </w:rPr>
        <w:t>Agoes</w:t>
      </w:r>
      <w:proofErr w:type="spellEnd"/>
      <w:r w:rsidR="00F346C4" w:rsidRPr="00E11402">
        <w:rPr>
          <w:lang w:val="en"/>
        </w:rPr>
        <w:t xml:space="preserve"> 2013). In this study Good Corporate Governance is </w:t>
      </w:r>
      <w:proofErr w:type="spellStart"/>
      <w:r w:rsidR="00F346C4" w:rsidRPr="00E11402">
        <w:rPr>
          <w:lang w:val="en"/>
        </w:rPr>
        <w:t>proxyed</w:t>
      </w:r>
      <w:proofErr w:type="spellEnd"/>
      <w:r w:rsidR="00F346C4" w:rsidRPr="00E11402">
        <w:rPr>
          <w:lang w:val="en"/>
        </w:rPr>
        <w:t xml:space="preserve"> in the </w:t>
      </w:r>
      <w:r w:rsidR="00F346C4" w:rsidRPr="00097E6C">
        <w:rPr>
          <w:b/>
          <w:bCs/>
          <w:lang w:val="en"/>
        </w:rPr>
        <w:t>Independent Board of Commissioners.</w:t>
      </w:r>
      <w:r w:rsidR="00F346C4">
        <w:rPr>
          <w:lang w:val="en"/>
        </w:rPr>
        <w:t xml:space="preserve"> The Independent Board of Commissioners is a member of the Board of Commissioners who comes from outside the Issuer or Public Company and meets the requirements as an Independent Commissioner (Financial Services Authority, 2014).</w:t>
      </w:r>
    </w:p>
    <w:p w14:paraId="090B03A7" w14:textId="77777777" w:rsidR="00F346C4" w:rsidRPr="00E11402" w:rsidRDefault="00F346C4" w:rsidP="00767F4A">
      <w:pPr>
        <w:ind w:firstLine="567"/>
        <w:jc w:val="both"/>
        <w:rPr>
          <w:rFonts w:eastAsiaTheme="minorEastAsia"/>
        </w:rPr>
      </w:pPr>
      <m:oMathPara>
        <m:oMath>
          <m:r>
            <m:rPr>
              <m:sty m:val="p"/>
            </m:rPr>
            <w:rPr>
              <w:rFonts w:ascii="Cambria Math" w:hAnsi="Cambria Math" w:cs="Cambria Math"/>
            </w:rPr>
            <m:t>D</m:t>
          </m:r>
          <m:r>
            <m:rPr>
              <m:sty m:val="p"/>
            </m:rPr>
            <w:rPr>
              <w:rFonts w:ascii="Cambria Math" w:hAnsi="Cambria Math"/>
            </w:rPr>
            <m:t xml:space="preserve">ewan </m:t>
          </m:r>
          <m:r>
            <m:rPr>
              <m:sty m:val="p"/>
            </m:rPr>
            <w:rPr>
              <w:rFonts w:ascii="Cambria Math" w:hAnsi="Cambria Math" w:cs="Cambria Math"/>
            </w:rPr>
            <m:t>Komisaris</m:t>
          </m:r>
          <m:r>
            <m:rPr>
              <m:sty m:val="p"/>
            </m:rPr>
            <w:rPr>
              <w:rFonts w:ascii="Cambria Math" w:hAnsi="Cambria Math"/>
            </w:rPr>
            <m:t xml:space="preserve"> </m:t>
          </m:r>
          <m:r>
            <m:rPr>
              <m:sty m:val="p"/>
            </m:rPr>
            <w:rPr>
              <w:rFonts w:ascii="Cambria Math" w:hAnsi="Cambria Math" w:cs="Cambria Math"/>
            </w:rPr>
            <m:t>Independen</m:t>
          </m:r>
          <m:r>
            <w:rPr>
              <w:rFonts w:ascii="Cambria Math" w:hAnsi="Cambria Math"/>
            </w:rPr>
            <m:t>=</m:t>
          </m:r>
          <m:f>
            <m:fPr>
              <m:ctrlPr>
                <w:rPr>
                  <w:rFonts w:ascii="Cambria Math" w:hAnsi="Cambria Math"/>
                  <w:i/>
                </w:rPr>
              </m:ctrlPr>
            </m:fPr>
            <m:num>
              <m:r>
                <w:rPr>
                  <w:rFonts w:ascii="Cambria Math" w:hAnsi="Cambria Math"/>
                </w:rPr>
                <m:t>Jumlah Dewan Komisaris Independen</m:t>
              </m:r>
            </m:num>
            <m:den>
              <m:r>
                <m:rPr>
                  <m:sty m:val="p"/>
                </m:rPr>
                <w:rPr>
                  <w:rFonts w:ascii="Cambria Math" w:hAnsi="Cambria Math"/>
                </w:rPr>
                <m:t>Total Dewan Komisaris</m:t>
              </m:r>
            </m:den>
          </m:f>
        </m:oMath>
      </m:oMathPara>
    </w:p>
    <w:p w14:paraId="3F874168" w14:textId="0697C156" w:rsidR="000406FC" w:rsidRDefault="000406FC" w:rsidP="000406FC">
      <w:pPr>
        <w:ind w:firstLine="567"/>
        <w:jc w:val="both"/>
        <w:rPr>
          <w:b/>
          <w:bCs/>
        </w:rPr>
      </w:pPr>
    </w:p>
    <w:p w14:paraId="12A14A5E" w14:textId="77777777" w:rsidR="00F346C4" w:rsidRDefault="00F346C4" w:rsidP="00E07800">
      <w:pPr>
        <w:ind w:firstLine="720"/>
        <w:jc w:val="both"/>
      </w:pPr>
      <w:r>
        <w:rPr>
          <w:lang w:val="en"/>
        </w:rPr>
        <w:t xml:space="preserve">Analysis and testing of research hypotheses using </w:t>
      </w:r>
      <w:proofErr w:type="gramStart"/>
      <w:r>
        <w:rPr>
          <w:lang w:val="en"/>
        </w:rPr>
        <w:t xml:space="preserve">model </w:t>
      </w:r>
      <w:r w:rsidRPr="00D225F8">
        <w:rPr>
          <w:i/>
          <w:lang w:val="en"/>
        </w:rPr>
        <w:t xml:space="preserve"> Moderation</w:t>
      </w:r>
      <w:proofErr w:type="gramEnd"/>
      <w:r w:rsidRPr="00D225F8">
        <w:rPr>
          <w:i/>
          <w:lang w:val="en"/>
        </w:rPr>
        <w:t xml:space="preserve"> </w:t>
      </w:r>
      <w:proofErr w:type="spellStart"/>
      <w:r w:rsidRPr="00D225F8">
        <w:rPr>
          <w:i/>
          <w:lang w:val="en"/>
        </w:rPr>
        <w:t>Regretion</w:t>
      </w:r>
      <w:proofErr w:type="spellEnd"/>
      <w:r w:rsidRPr="00D225F8">
        <w:rPr>
          <w:i/>
          <w:lang w:val="en"/>
        </w:rPr>
        <w:t xml:space="preserve"> Analysis</w:t>
      </w:r>
      <w:r>
        <w:rPr>
          <w:lang w:val="en"/>
        </w:rPr>
        <w:t xml:space="preserve">  (MRA)  is run using  SPSS </w:t>
      </w:r>
      <w:r w:rsidRPr="00BD7110">
        <w:rPr>
          <w:i/>
          <w:iCs/>
          <w:lang w:val="en"/>
        </w:rPr>
        <w:t xml:space="preserve">software </w:t>
      </w:r>
      <w:r>
        <w:rPr>
          <w:lang w:val="en"/>
        </w:rPr>
        <w:t xml:space="preserve"> version  21.</w:t>
      </w:r>
      <w:r w:rsidRPr="00BD7110">
        <w:rPr>
          <w:lang w:val="en"/>
        </w:rPr>
        <w:t xml:space="preserve"> Structural model equations with moderation effects are as follows:</w:t>
      </w:r>
    </w:p>
    <w:p w14:paraId="50AEAF12" w14:textId="6C55147B" w:rsidR="00F346C4" w:rsidRPr="00D46D5B" w:rsidRDefault="00F346C4" w:rsidP="00E07800">
      <w:pPr>
        <w:jc w:val="both"/>
        <w:rPr>
          <w:lang w:val="en-US"/>
        </w:rPr>
      </w:pPr>
      <m:oMath>
        <m:r>
          <w:rPr>
            <w:rFonts w:ascii="Cambria Math" w:hAnsi="Cambria Math"/>
          </w:rPr>
          <m:t>Y=</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 ERM+ </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 xml:space="preserve"> IC+ ε</m:t>
        </m:r>
      </m:oMath>
      <w:r>
        <w:rPr>
          <w:lang w:val="en"/>
        </w:rPr>
        <w:t>..............................................................    Equation 1</w:t>
      </w:r>
    </w:p>
    <w:p w14:paraId="587F24D9" w14:textId="77777777" w:rsidR="00F346C4" w:rsidRPr="00D46D5B" w:rsidRDefault="00F346C4" w:rsidP="00E07800">
      <w:pPr>
        <w:jc w:val="both"/>
        <w:rPr>
          <w:rFonts w:eastAsiaTheme="minorEastAsia"/>
          <w:iCs/>
          <w:lang w:val="en-US"/>
        </w:rPr>
      </w:pPr>
      <m:oMath>
        <m:r>
          <w:rPr>
            <w:rFonts w:ascii="Cambria Math" w:eastAsiaTheme="minorEastAsia" w:hAnsi="Cambria Math"/>
          </w:rPr>
          <m:t>Y=α+</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r>
          <w:rPr>
            <w:rFonts w:ascii="Cambria Math" w:eastAsiaTheme="minorEastAsia" w:hAnsi="Cambria Math"/>
          </w:rPr>
          <m:t xml:space="preserve">ERM+ </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2</m:t>
            </m:r>
          </m:sub>
        </m:sSub>
        <m:r>
          <w:rPr>
            <w:rFonts w:ascii="Cambria Math" w:eastAsiaTheme="minorEastAsia" w:hAnsi="Cambria Math"/>
          </w:rPr>
          <m:t xml:space="preserve">IC+ </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3</m:t>
            </m:r>
          </m:sub>
        </m:sSub>
        <m:r>
          <w:rPr>
            <w:rFonts w:ascii="Cambria Math" w:eastAsiaTheme="minorEastAsia" w:hAnsi="Cambria Math"/>
          </w:rPr>
          <m:t>ERM*DKI+</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4</m:t>
            </m:r>
          </m:sub>
        </m:sSub>
        <m:r>
          <w:rPr>
            <w:rFonts w:ascii="Cambria Math" w:eastAsiaTheme="minorEastAsia" w:hAnsi="Cambria Math"/>
          </w:rPr>
          <m:t xml:space="preserve">IC*DKI+ε </m:t>
        </m:r>
      </m:oMath>
      <w:r>
        <w:rPr>
          <w:i/>
          <w:lang w:val="en"/>
        </w:rPr>
        <w:t xml:space="preserve">................. </w:t>
      </w:r>
      <w:r>
        <w:rPr>
          <w:lang w:val="en"/>
        </w:rPr>
        <w:t>Equation 2</w:t>
      </w:r>
    </w:p>
    <w:p w14:paraId="20B57479" w14:textId="77777777" w:rsidR="00F346C4" w:rsidRDefault="00F346C4" w:rsidP="00E07800">
      <w:pPr>
        <w:jc w:val="both"/>
        <w:rPr>
          <w:rFonts w:eastAsiaTheme="minorEastAsia"/>
        </w:rPr>
      </w:pPr>
    </w:p>
    <w:p w14:paraId="6C41FF0D" w14:textId="77777777" w:rsidR="00F346C4" w:rsidRDefault="00F346C4" w:rsidP="00E07800">
      <w:pPr>
        <w:jc w:val="both"/>
        <w:rPr>
          <w:rFonts w:eastAsiaTheme="minorEastAsia"/>
          <w:lang w:val="en-US"/>
        </w:rPr>
      </w:pPr>
      <w:r>
        <w:rPr>
          <w:lang w:val="en"/>
        </w:rPr>
        <w:t>Information:</w:t>
      </w:r>
    </w:p>
    <w:p w14:paraId="3AE27F4C" w14:textId="32B3466F" w:rsidR="00F346C4" w:rsidRDefault="00F346C4" w:rsidP="00E07800">
      <w:pPr>
        <w:jc w:val="both"/>
        <w:rPr>
          <w:rFonts w:eastAsiaTheme="minorEastAsia"/>
          <w:lang w:val="en-US"/>
        </w:rPr>
      </w:pPr>
      <w:r>
        <w:rPr>
          <w:lang w:val="en"/>
        </w:rPr>
        <w:t>Y</w:t>
      </w:r>
      <w:r>
        <w:rPr>
          <w:lang w:val="en"/>
        </w:rPr>
        <w:tab/>
      </w:r>
      <w:r>
        <w:rPr>
          <w:lang w:val="en"/>
        </w:rPr>
        <w:tab/>
        <w:t>:</w:t>
      </w:r>
      <w:r>
        <w:rPr>
          <w:lang w:val="en"/>
        </w:rPr>
        <w:tab/>
        <w:t>Company Value</w:t>
      </w:r>
    </w:p>
    <w:p w14:paraId="1E3A5DE7" w14:textId="77777777" w:rsidR="00F346C4" w:rsidRDefault="00F346C4" w:rsidP="00E07800">
      <w:pPr>
        <w:jc w:val="both"/>
        <w:rPr>
          <w:rFonts w:eastAsiaTheme="minorEastAsia"/>
          <w:lang w:val="en-US"/>
        </w:rPr>
      </w:pPr>
      <w:r>
        <w:rPr>
          <w:lang w:val="en"/>
        </w:rPr>
        <w:t>a</w:t>
      </w:r>
      <w:r>
        <w:rPr>
          <w:lang w:val="en"/>
        </w:rPr>
        <w:tab/>
      </w:r>
      <w:r>
        <w:rPr>
          <w:lang w:val="en"/>
        </w:rPr>
        <w:tab/>
        <w:t>:</w:t>
      </w:r>
      <w:r>
        <w:rPr>
          <w:lang w:val="en"/>
        </w:rPr>
        <w:tab/>
      </w:r>
      <w:proofErr w:type="spellStart"/>
      <w:r>
        <w:rPr>
          <w:lang w:val="en"/>
        </w:rPr>
        <w:t>Konstanta</w:t>
      </w:r>
      <w:proofErr w:type="spellEnd"/>
    </w:p>
    <w:p w14:paraId="403131D9" w14:textId="77777777" w:rsidR="00F346C4" w:rsidRDefault="00F346C4" w:rsidP="00E07800">
      <w:pPr>
        <w:jc w:val="both"/>
        <w:rPr>
          <w:rFonts w:eastAsiaTheme="minorEastAsia"/>
          <w:lang w:val="en-US"/>
        </w:rPr>
      </w:pPr>
      <w:r>
        <w:rPr>
          <w:lang w:val="en"/>
        </w:rPr>
        <w:t>b</w:t>
      </w:r>
      <w:proofErr w:type="gramStart"/>
      <w:r w:rsidRPr="00E8604F">
        <w:rPr>
          <w:sz w:val="18"/>
          <w:szCs w:val="16"/>
          <w:lang w:val="en"/>
        </w:rPr>
        <w:t>1,</w:t>
      </w:r>
      <w:r>
        <w:rPr>
          <w:lang w:val="en"/>
        </w:rPr>
        <w:t>b</w:t>
      </w:r>
      <w:proofErr w:type="gramEnd"/>
      <w:r w:rsidRPr="00E8604F">
        <w:rPr>
          <w:sz w:val="18"/>
          <w:szCs w:val="16"/>
          <w:lang w:val="en"/>
        </w:rPr>
        <w:t>2,</w:t>
      </w:r>
      <w:r>
        <w:rPr>
          <w:lang w:val="en"/>
        </w:rPr>
        <w:t>b</w:t>
      </w:r>
      <w:r w:rsidRPr="00E8604F">
        <w:rPr>
          <w:sz w:val="18"/>
          <w:szCs w:val="16"/>
          <w:lang w:val="en"/>
        </w:rPr>
        <w:t>3,</w:t>
      </w:r>
      <w:r>
        <w:rPr>
          <w:lang w:val="en"/>
        </w:rPr>
        <w:t>b</w:t>
      </w:r>
      <w:r w:rsidRPr="00E8604F">
        <w:rPr>
          <w:sz w:val="18"/>
          <w:szCs w:val="16"/>
          <w:lang w:val="en"/>
        </w:rPr>
        <w:t>4</w:t>
      </w:r>
      <w:r>
        <w:rPr>
          <w:lang w:val="en"/>
        </w:rPr>
        <w:tab/>
        <w:t>:</w:t>
      </w:r>
      <w:r>
        <w:rPr>
          <w:lang w:val="en"/>
        </w:rPr>
        <w:tab/>
      </w:r>
      <w:proofErr w:type="spellStart"/>
      <w:r>
        <w:rPr>
          <w:lang w:val="en"/>
        </w:rPr>
        <w:t>Koefisien</w:t>
      </w:r>
      <w:proofErr w:type="spellEnd"/>
      <w:r>
        <w:rPr>
          <w:lang w:val="en"/>
        </w:rPr>
        <w:t xml:space="preserve"> </w:t>
      </w:r>
      <w:proofErr w:type="spellStart"/>
      <w:r>
        <w:rPr>
          <w:lang w:val="en"/>
        </w:rPr>
        <w:t>Regresi</w:t>
      </w:r>
      <w:proofErr w:type="spellEnd"/>
    </w:p>
    <w:p w14:paraId="3A521DE3" w14:textId="77777777" w:rsidR="00F346C4" w:rsidRDefault="00F346C4" w:rsidP="00E07800">
      <w:pPr>
        <w:jc w:val="both"/>
        <w:rPr>
          <w:rFonts w:eastAsiaTheme="minorEastAsia"/>
          <w:i/>
          <w:iCs/>
          <w:lang w:val="en-US"/>
        </w:rPr>
      </w:pPr>
      <w:r>
        <w:rPr>
          <w:lang w:val="en"/>
        </w:rPr>
        <w:t>ERM</w:t>
      </w:r>
      <w:r>
        <w:rPr>
          <w:lang w:val="en"/>
        </w:rPr>
        <w:tab/>
      </w:r>
      <w:r>
        <w:rPr>
          <w:lang w:val="en"/>
        </w:rPr>
        <w:tab/>
        <w:t xml:space="preserve">:  </w:t>
      </w:r>
      <w:r>
        <w:rPr>
          <w:lang w:val="en"/>
        </w:rPr>
        <w:tab/>
      </w:r>
      <w:r>
        <w:rPr>
          <w:i/>
          <w:lang w:val="en"/>
        </w:rPr>
        <w:t>Enterprise Risk Management Disclosure</w:t>
      </w:r>
    </w:p>
    <w:p w14:paraId="7B514EF3" w14:textId="77777777" w:rsidR="00F346C4" w:rsidRDefault="00F346C4" w:rsidP="00E07800">
      <w:pPr>
        <w:jc w:val="both"/>
        <w:rPr>
          <w:rFonts w:eastAsiaTheme="minorEastAsia"/>
          <w:i/>
          <w:iCs/>
          <w:lang w:val="en-US"/>
        </w:rPr>
      </w:pPr>
      <w:r>
        <w:rPr>
          <w:lang w:val="en"/>
        </w:rPr>
        <w:t>IC</w:t>
      </w:r>
      <w:r>
        <w:rPr>
          <w:lang w:val="en"/>
        </w:rPr>
        <w:tab/>
      </w:r>
      <w:r>
        <w:rPr>
          <w:lang w:val="en"/>
        </w:rPr>
        <w:tab/>
        <w:t>:</w:t>
      </w:r>
      <w:r>
        <w:rPr>
          <w:lang w:val="en"/>
        </w:rPr>
        <w:tab/>
      </w:r>
      <w:r>
        <w:rPr>
          <w:i/>
          <w:lang w:val="en"/>
        </w:rPr>
        <w:t>Intellectual Capital Disclosure</w:t>
      </w:r>
    </w:p>
    <w:p w14:paraId="794EB709" w14:textId="77777777" w:rsidR="00F346C4" w:rsidRDefault="00F346C4" w:rsidP="00E07800">
      <w:pPr>
        <w:jc w:val="both"/>
        <w:rPr>
          <w:rFonts w:eastAsiaTheme="minorEastAsia"/>
          <w:lang w:val="en-US"/>
        </w:rPr>
      </w:pPr>
      <w:r>
        <w:rPr>
          <w:lang w:val="en"/>
        </w:rPr>
        <w:t>ERM*DKI:</w:t>
      </w:r>
      <w:r>
        <w:rPr>
          <w:lang w:val="en"/>
        </w:rPr>
        <w:tab/>
      </w:r>
      <w:r>
        <w:rPr>
          <w:lang w:val="en"/>
        </w:rPr>
        <w:tab/>
      </w:r>
      <w:proofErr w:type="gramStart"/>
      <w:r>
        <w:rPr>
          <w:lang w:val="en"/>
        </w:rPr>
        <w:t xml:space="preserve">Interaction  </w:t>
      </w:r>
      <w:r>
        <w:rPr>
          <w:i/>
          <w:lang w:val="en"/>
        </w:rPr>
        <w:t>of</w:t>
      </w:r>
      <w:proofErr w:type="gramEnd"/>
      <w:r>
        <w:rPr>
          <w:i/>
          <w:lang w:val="en"/>
        </w:rPr>
        <w:t xml:space="preserve"> enterprise risk management disclosure </w:t>
      </w:r>
      <w:r>
        <w:rPr>
          <w:lang w:val="en"/>
        </w:rPr>
        <w:t xml:space="preserve"> with</w:t>
      </w:r>
    </w:p>
    <w:p w14:paraId="5BD0D0B9" w14:textId="77777777" w:rsidR="00F346C4" w:rsidRDefault="00F346C4" w:rsidP="00E07800">
      <w:pPr>
        <w:jc w:val="both"/>
        <w:rPr>
          <w:rFonts w:eastAsiaTheme="minorEastAsia"/>
          <w:i/>
          <w:iCs/>
          <w:lang w:val="en-US"/>
        </w:rPr>
      </w:pPr>
      <w:r>
        <w:rPr>
          <w:lang w:val="en"/>
        </w:rPr>
        <w:t xml:space="preserve">                                    Independent board of commissioners</w:t>
      </w:r>
    </w:p>
    <w:p w14:paraId="74E43E2B" w14:textId="35066872" w:rsidR="00F346C4" w:rsidRDefault="00F346C4" w:rsidP="00E07800">
      <w:pPr>
        <w:jc w:val="both"/>
        <w:rPr>
          <w:rFonts w:eastAsiaTheme="minorEastAsia"/>
          <w:lang w:val="en-US"/>
        </w:rPr>
      </w:pPr>
      <w:r>
        <w:rPr>
          <w:lang w:val="en"/>
        </w:rPr>
        <w:t>IC*DKI</w:t>
      </w:r>
      <w:r>
        <w:rPr>
          <w:lang w:val="en"/>
        </w:rPr>
        <w:tab/>
        <w:t>:</w:t>
      </w:r>
      <w:r>
        <w:rPr>
          <w:lang w:val="en"/>
        </w:rPr>
        <w:tab/>
      </w:r>
      <w:proofErr w:type="gramStart"/>
      <w:r>
        <w:rPr>
          <w:lang w:val="en"/>
        </w:rPr>
        <w:t xml:space="preserve">Intellectual  </w:t>
      </w:r>
      <w:r>
        <w:rPr>
          <w:i/>
          <w:lang w:val="en"/>
        </w:rPr>
        <w:t>capital</w:t>
      </w:r>
      <w:proofErr w:type="gramEnd"/>
      <w:r>
        <w:rPr>
          <w:i/>
          <w:lang w:val="en"/>
        </w:rPr>
        <w:t xml:space="preserve"> </w:t>
      </w:r>
      <w:r>
        <w:rPr>
          <w:lang w:val="en"/>
        </w:rPr>
        <w:t>interaction with the board of commissioners</w:t>
      </w:r>
    </w:p>
    <w:p w14:paraId="7331E636" w14:textId="77777777" w:rsidR="00F346C4" w:rsidRPr="00FC4F03" w:rsidRDefault="00F346C4" w:rsidP="00E07800">
      <w:pPr>
        <w:jc w:val="both"/>
        <w:rPr>
          <w:rFonts w:eastAsiaTheme="minorEastAsia"/>
          <w:lang w:val="en-US"/>
        </w:rPr>
      </w:pPr>
      <w:r>
        <w:rPr>
          <w:lang w:val="en"/>
        </w:rPr>
        <w:t xml:space="preserve">                                    independent</w:t>
      </w:r>
    </w:p>
    <w:p w14:paraId="5C59A9B7" w14:textId="77777777" w:rsidR="00F346C4" w:rsidRPr="00E8604F" w:rsidRDefault="00F346C4" w:rsidP="00E07800">
      <w:pPr>
        <w:jc w:val="both"/>
        <w:rPr>
          <w:rFonts w:eastAsiaTheme="minorEastAsia"/>
          <w:lang w:val="en-US"/>
        </w:rPr>
      </w:pPr>
    </w:p>
    <w:p w14:paraId="10EE027D" w14:textId="25E4D508" w:rsidR="00044A81" w:rsidRPr="004B6C5B" w:rsidRDefault="00044A81" w:rsidP="00044A81">
      <w:pPr>
        <w:pStyle w:val="ListParagraph"/>
        <w:numPr>
          <w:ilvl w:val="0"/>
          <w:numId w:val="2"/>
        </w:numPr>
        <w:tabs>
          <w:tab w:val="clear" w:pos="720"/>
        </w:tabs>
        <w:ind w:left="426" w:hanging="426"/>
        <w:jc w:val="both"/>
        <w:rPr>
          <w:b/>
          <w:bCs/>
          <w:lang w:val="en-US"/>
        </w:rPr>
      </w:pPr>
      <w:r w:rsidRPr="004B6C5B">
        <w:rPr>
          <w:b/>
          <w:bCs/>
          <w:lang w:val="en"/>
        </w:rPr>
        <w:t>Research Results</w:t>
      </w:r>
    </w:p>
    <w:p w14:paraId="498C1F25" w14:textId="77777777" w:rsidR="00DF7FE6" w:rsidRPr="002C13AB" w:rsidRDefault="00DF7FE6" w:rsidP="0087666D">
      <w:pPr>
        <w:pStyle w:val="ListParagraph"/>
        <w:ind w:left="0" w:firstLine="720"/>
        <w:jc w:val="both"/>
        <w:rPr>
          <w:iCs/>
          <w:szCs w:val="24"/>
          <w:lang w:val="en-US"/>
        </w:rPr>
      </w:pPr>
      <w:r w:rsidRPr="002C13AB">
        <w:rPr>
          <w:szCs w:val="24"/>
          <w:lang w:val="en"/>
        </w:rPr>
        <w:t>Before testing data from basic and chemical sub-industry manufacturing companies sampled in this study, you must first recognize and pay attention to the description of the data through descriptive statistics that will be displayed on the following table:</w:t>
      </w:r>
    </w:p>
    <w:p w14:paraId="1F93A01E" w14:textId="77777777" w:rsidR="00DF7FE6" w:rsidRDefault="00DF7FE6" w:rsidP="0087666D">
      <w:pPr>
        <w:jc w:val="both"/>
        <w:rPr>
          <w:b/>
          <w:bCs/>
          <w:iCs/>
          <w:color w:val="000000" w:themeColor="text1"/>
          <w:szCs w:val="24"/>
          <w:lang w:val="en-US"/>
        </w:rPr>
      </w:pPr>
      <w:r>
        <w:rPr>
          <w:b/>
          <w:color w:val="000000" w:themeColor="text1"/>
          <w:szCs w:val="24"/>
          <w:lang w:val="en"/>
        </w:rPr>
        <w:t xml:space="preserve">Table </w:t>
      </w:r>
      <w:r>
        <w:rPr>
          <w:b/>
          <w:bCs/>
          <w:iCs/>
          <w:color w:val="000000" w:themeColor="text1"/>
          <w:szCs w:val="24"/>
          <w:lang w:val="en"/>
        </w:rPr>
        <w:t>1.</w:t>
      </w:r>
      <w:r>
        <w:rPr>
          <w:lang w:val="en"/>
        </w:rPr>
        <w:t xml:space="preserve"> </w:t>
      </w:r>
      <w:r>
        <w:rPr>
          <w:b/>
          <w:color w:val="000000" w:themeColor="text1"/>
          <w:szCs w:val="24"/>
          <w:lang w:val="en"/>
        </w:rPr>
        <w:t>Descriptive Statistical Test Results</w:t>
      </w:r>
    </w:p>
    <w:p w14:paraId="2BCCCA4A" w14:textId="122FA9A7" w:rsidR="00737F00" w:rsidRDefault="00737F00" w:rsidP="00737F00">
      <w:pPr>
        <w:jc w:val="both"/>
        <w:rPr>
          <w:b/>
          <w:bCs/>
          <w:iCs/>
          <w:color w:val="000000" w:themeColor="text1"/>
          <w:szCs w:val="24"/>
          <w:lang w:val="en-US"/>
        </w:rPr>
      </w:pPr>
    </w:p>
    <w:tbl>
      <w:tblPr>
        <w:tblW w:w="7680" w:type="dxa"/>
        <w:tblInd w:w="-5" w:type="dxa"/>
        <w:tblLook w:val="04A0" w:firstRow="1" w:lastRow="0" w:firstColumn="1" w:lastColumn="0" w:noHBand="0" w:noVBand="1"/>
      </w:tblPr>
      <w:tblGrid>
        <w:gridCol w:w="1876"/>
        <w:gridCol w:w="960"/>
        <w:gridCol w:w="960"/>
        <w:gridCol w:w="997"/>
        <w:gridCol w:w="960"/>
        <w:gridCol w:w="960"/>
        <w:gridCol w:w="967"/>
      </w:tblGrid>
      <w:tr w:rsidR="00737F00" w14:paraId="05C1A07F" w14:textId="77777777" w:rsidTr="00737F00">
        <w:trPr>
          <w:trHeight w:val="495"/>
        </w:trPr>
        <w:tc>
          <w:tcPr>
            <w:tcW w:w="1876" w:type="dxa"/>
            <w:vMerge w:val="restart"/>
            <w:tcBorders>
              <w:top w:val="single" w:sz="4" w:space="0" w:color="auto"/>
              <w:left w:val="single" w:sz="4" w:space="0" w:color="auto"/>
              <w:bottom w:val="single" w:sz="4" w:space="0" w:color="auto"/>
              <w:right w:val="single" w:sz="4" w:space="0" w:color="auto"/>
            </w:tcBorders>
            <w:vAlign w:val="bottom"/>
            <w:hideMark/>
          </w:tcPr>
          <w:p w14:paraId="6A794CF3"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c>
          <w:tcPr>
            <w:tcW w:w="960" w:type="dxa"/>
            <w:tcBorders>
              <w:top w:val="single" w:sz="4" w:space="0" w:color="auto"/>
              <w:left w:val="nil"/>
              <w:bottom w:val="single" w:sz="4" w:space="0" w:color="auto"/>
              <w:right w:val="single" w:sz="4" w:space="0" w:color="auto"/>
            </w:tcBorders>
            <w:vAlign w:val="bottom"/>
            <w:hideMark/>
          </w:tcPr>
          <w:p w14:paraId="4A89FED6"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N</w:t>
            </w:r>
          </w:p>
        </w:tc>
        <w:tc>
          <w:tcPr>
            <w:tcW w:w="960" w:type="dxa"/>
            <w:tcBorders>
              <w:top w:val="single" w:sz="4" w:space="0" w:color="auto"/>
              <w:left w:val="nil"/>
              <w:bottom w:val="single" w:sz="4" w:space="0" w:color="auto"/>
              <w:right w:val="single" w:sz="4" w:space="0" w:color="auto"/>
            </w:tcBorders>
            <w:vAlign w:val="bottom"/>
            <w:hideMark/>
          </w:tcPr>
          <w:p w14:paraId="2B023B8C"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Minimum</w:t>
            </w:r>
          </w:p>
        </w:tc>
        <w:tc>
          <w:tcPr>
            <w:tcW w:w="997" w:type="dxa"/>
            <w:tcBorders>
              <w:top w:val="single" w:sz="4" w:space="0" w:color="auto"/>
              <w:left w:val="nil"/>
              <w:bottom w:val="single" w:sz="4" w:space="0" w:color="auto"/>
              <w:right w:val="single" w:sz="4" w:space="0" w:color="auto"/>
            </w:tcBorders>
            <w:vAlign w:val="bottom"/>
            <w:hideMark/>
          </w:tcPr>
          <w:p w14:paraId="0FB3419B"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Maximum</w:t>
            </w:r>
          </w:p>
        </w:tc>
        <w:tc>
          <w:tcPr>
            <w:tcW w:w="1920" w:type="dxa"/>
            <w:gridSpan w:val="2"/>
            <w:tcBorders>
              <w:top w:val="single" w:sz="4" w:space="0" w:color="auto"/>
              <w:left w:val="nil"/>
              <w:bottom w:val="single" w:sz="4" w:space="0" w:color="auto"/>
              <w:right w:val="single" w:sz="4" w:space="0" w:color="auto"/>
            </w:tcBorders>
            <w:vAlign w:val="bottom"/>
            <w:hideMark/>
          </w:tcPr>
          <w:p w14:paraId="6AE87F51"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Mean</w:t>
            </w:r>
          </w:p>
        </w:tc>
        <w:tc>
          <w:tcPr>
            <w:tcW w:w="967" w:type="dxa"/>
            <w:tcBorders>
              <w:top w:val="single" w:sz="4" w:space="0" w:color="auto"/>
              <w:left w:val="nil"/>
              <w:bottom w:val="single" w:sz="4" w:space="0" w:color="auto"/>
              <w:right w:val="single" w:sz="4" w:space="0" w:color="auto"/>
            </w:tcBorders>
            <w:vAlign w:val="bottom"/>
            <w:hideMark/>
          </w:tcPr>
          <w:p w14:paraId="7469467A"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Std. Deviation</w:t>
            </w:r>
          </w:p>
        </w:tc>
      </w:tr>
      <w:tr w:rsidR="00737F00" w14:paraId="7DD5630E" w14:textId="77777777" w:rsidTr="00737F0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6EA72" w14:textId="77777777" w:rsidR="00737F00" w:rsidRDefault="00737F00">
            <w:pPr>
              <w:rPr>
                <w:rFonts w:ascii="Arial" w:eastAsia="Times New Roman" w:hAnsi="Arial" w:cs="Arial"/>
                <w:color w:val="000000"/>
                <w:sz w:val="18"/>
                <w:szCs w:val="18"/>
                <w:lang w:val="en-ID" w:eastAsia="en-ID"/>
              </w:rPr>
            </w:pPr>
          </w:p>
        </w:tc>
        <w:tc>
          <w:tcPr>
            <w:tcW w:w="960" w:type="dxa"/>
            <w:tcBorders>
              <w:top w:val="nil"/>
              <w:left w:val="nil"/>
              <w:bottom w:val="single" w:sz="4" w:space="0" w:color="auto"/>
              <w:right w:val="single" w:sz="4" w:space="0" w:color="auto"/>
            </w:tcBorders>
            <w:vAlign w:val="bottom"/>
            <w:hideMark/>
          </w:tcPr>
          <w:p w14:paraId="05CD0E1B"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Statistic</w:t>
            </w:r>
          </w:p>
        </w:tc>
        <w:tc>
          <w:tcPr>
            <w:tcW w:w="960" w:type="dxa"/>
            <w:tcBorders>
              <w:top w:val="nil"/>
              <w:left w:val="nil"/>
              <w:bottom w:val="single" w:sz="4" w:space="0" w:color="auto"/>
              <w:right w:val="single" w:sz="4" w:space="0" w:color="auto"/>
            </w:tcBorders>
            <w:vAlign w:val="bottom"/>
            <w:hideMark/>
          </w:tcPr>
          <w:p w14:paraId="26A2CA7F"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Statistic</w:t>
            </w:r>
          </w:p>
        </w:tc>
        <w:tc>
          <w:tcPr>
            <w:tcW w:w="997" w:type="dxa"/>
            <w:tcBorders>
              <w:top w:val="nil"/>
              <w:left w:val="nil"/>
              <w:bottom w:val="single" w:sz="4" w:space="0" w:color="auto"/>
              <w:right w:val="single" w:sz="4" w:space="0" w:color="auto"/>
            </w:tcBorders>
            <w:vAlign w:val="bottom"/>
            <w:hideMark/>
          </w:tcPr>
          <w:p w14:paraId="4E3F35D0"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Statistic</w:t>
            </w:r>
          </w:p>
        </w:tc>
        <w:tc>
          <w:tcPr>
            <w:tcW w:w="960" w:type="dxa"/>
            <w:tcBorders>
              <w:top w:val="nil"/>
              <w:left w:val="nil"/>
              <w:bottom w:val="single" w:sz="4" w:space="0" w:color="auto"/>
              <w:right w:val="single" w:sz="4" w:space="0" w:color="auto"/>
            </w:tcBorders>
            <w:vAlign w:val="bottom"/>
            <w:hideMark/>
          </w:tcPr>
          <w:p w14:paraId="6A0057EF"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Statistic</w:t>
            </w:r>
          </w:p>
        </w:tc>
        <w:tc>
          <w:tcPr>
            <w:tcW w:w="960" w:type="dxa"/>
            <w:tcBorders>
              <w:top w:val="nil"/>
              <w:left w:val="nil"/>
              <w:bottom w:val="single" w:sz="4" w:space="0" w:color="auto"/>
              <w:right w:val="single" w:sz="4" w:space="0" w:color="auto"/>
            </w:tcBorders>
            <w:vAlign w:val="bottom"/>
            <w:hideMark/>
          </w:tcPr>
          <w:p w14:paraId="2A3A50D4"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Std. Error</w:t>
            </w:r>
          </w:p>
        </w:tc>
        <w:tc>
          <w:tcPr>
            <w:tcW w:w="967" w:type="dxa"/>
            <w:tcBorders>
              <w:top w:val="nil"/>
              <w:left w:val="nil"/>
              <w:bottom w:val="single" w:sz="4" w:space="0" w:color="auto"/>
              <w:right w:val="single" w:sz="4" w:space="0" w:color="auto"/>
            </w:tcBorders>
            <w:vAlign w:val="bottom"/>
            <w:hideMark/>
          </w:tcPr>
          <w:p w14:paraId="1A3BA92A"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Statistic</w:t>
            </w:r>
          </w:p>
        </w:tc>
      </w:tr>
      <w:tr w:rsidR="00737F00" w14:paraId="75FDCC47" w14:textId="77777777" w:rsidTr="00737F00">
        <w:trPr>
          <w:trHeight w:val="300"/>
        </w:trPr>
        <w:tc>
          <w:tcPr>
            <w:tcW w:w="1876" w:type="dxa"/>
            <w:tcBorders>
              <w:top w:val="nil"/>
              <w:left w:val="single" w:sz="4" w:space="0" w:color="auto"/>
              <w:bottom w:val="single" w:sz="4" w:space="0" w:color="auto"/>
              <w:right w:val="single" w:sz="4" w:space="0" w:color="auto"/>
            </w:tcBorders>
            <w:hideMark/>
          </w:tcPr>
          <w:p w14:paraId="7E461621"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ERM Disclosure</w:t>
            </w:r>
          </w:p>
        </w:tc>
        <w:tc>
          <w:tcPr>
            <w:tcW w:w="960" w:type="dxa"/>
            <w:tcBorders>
              <w:top w:val="nil"/>
              <w:left w:val="nil"/>
              <w:bottom w:val="single" w:sz="4" w:space="0" w:color="auto"/>
              <w:right w:val="single" w:sz="4" w:space="0" w:color="auto"/>
            </w:tcBorders>
            <w:noWrap/>
            <w:hideMark/>
          </w:tcPr>
          <w:p w14:paraId="61CBEE8A"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244</w:t>
            </w:r>
          </w:p>
        </w:tc>
        <w:tc>
          <w:tcPr>
            <w:tcW w:w="960" w:type="dxa"/>
            <w:tcBorders>
              <w:top w:val="nil"/>
              <w:left w:val="nil"/>
              <w:bottom w:val="single" w:sz="4" w:space="0" w:color="auto"/>
              <w:right w:val="single" w:sz="4" w:space="0" w:color="auto"/>
            </w:tcBorders>
            <w:noWrap/>
            <w:hideMark/>
          </w:tcPr>
          <w:p w14:paraId="678B1C64"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0,00</w:t>
            </w:r>
          </w:p>
        </w:tc>
        <w:tc>
          <w:tcPr>
            <w:tcW w:w="997" w:type="dxa"/>
            <w:tcBorders>
              <w:top w:val="nil"/>
              <w:left w:val="nil"/>
              <w:bottom w:val="single" w:sz="4" w:space="0" w:color="auto"/>
              <w:right w:val="single" w:sz="4" w:space="0" w:color="auto"/>
            </w:tcBorders>
            <w:noWrap/>
            <w:hideMark/>
          </w:tcPr>
          <w:p w14:paraId="5ECD169F"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0,57</w:t>
            </w:r>
          </w:p>
        </w:tc>
        <w:tc>
          <w:tcPr>
            <w:tcW w:w="960" w:type="dxa"/>
            <w:tcBorders>
              <w:top w:val="nil"/>
              <w:left w:val="nil"/>
              <w:bottom w:val="single" w:sz="4" w:space="0" w:color="auto"/>
              <w:right w:val="single" w:sz="4" w:space="0" w:color="auto"/>
            </w:tcBorders>
            <w:noWrap/>
            <w:hideMark/>
          </w:tcPr>
          <w:p w14:paraId="7CE9B9FC"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0,2771</w:t>
            </w:r>
          </w:p>
        </w:tc>
        <w:tc>
          <w:tcPr>
            <w:tcW w:w="960" w:type="dxa"/>
            <w:tcBorders>
              <w:top w:val="nil"/>
              <w:left w:val="nil"/>
              <w:bottom w:val="single" w:sz="4" w:space="0" w:color="auto"/>
              <w:right w:val="single" w:sz="4" w:space="0" w:color="auto"/>
            </w:tcBorders>
            <w:noWrap/>
            <w:hideMark/>
          </w:tcPr>
          <w:p w14:paraId="2D90EBCA"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0,01229</w:t>
            </w:r>
          </w:p>
        </w:tc>
        <w:tc>
          <w:tcPr>
            <w:tcW w:w="967" w:type="dxa"/>
            <w:tcBorders>
              <w:top w:val="nil"/>
              <w:left w:val="nil"/>
              <w:bottom w:val="single" w:sz="4" w:space="0" w:color="auto"/>
              <w:right w:val="single" w:sz="4" w:space="0" w:color="auto"/>
            </w:tcBorders>
            <w:noWrap/>
            <w:hideMark/>
          </w:tcPr>
          <w:p w14:paraId="2BB265F2"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0,19194</w:t>
            </w:r>
          </w:p>
        </w:tc>
      </w:tr>
      <w:tr w:rsidR="00737F00" w14:paraId="51E37EB9" w14:textId="77777777" w:rsidTr="00737F00">
        <w:trPr>
          <w:trHeight w:val="300"/>
        </w:trPr>
        <w:tc>
          <w:tcPr>
            <w:tcW w:w="1876" w:type="dxa"/>
            <w:tcBorders>
              <w:top w:val="nil"/>
              <w:left w:val="single" w:sz="4" w:space="0" w:color="auto"/>
              <w:bottom w:val="single" w:sz="4" w:space="0" w:color="auto"/>
              <w:right w:val="single" w:sz="4" w:space="0" w:color="auto"/>
            </w:tcBorders>
            <w:hideMark/>
          </w:tcPr>
          <w:p w14:paraId="2492B80E"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Intellectual Capital</w:t>
            </w:r>
          </w:p>
        </w:tc>
        <w:tc>
          <w:tcPr>
            <w:tcW w:w="960" w:type="dxa"/>
            <w:tcBorders>
              <w:top w:val="nil"/>
              <w:left w:val="nil"/>
              <w:bottom w:val="single" w:sz="4" w:space="0" w:color="auto"/>
              <w:right w:val="single" w:sz="4" w:space="0" w:color="auto"/>
            </w:tcBorders>
            <w:noWrap/>
            <w:hideMark/>
          </w:tcPr>
          <w:p w14:paraId="2BABB918"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244</w:t>
            </w:r>
          </w:p>
        </w:tc>
        <w:tc>
          <w:tcPr>
            <w:tcW w:w="960" w:type="dxa"/>
            <w:tcBorders>
              <w:top w:val="nil"/>
              <w:left w:val="nil"/>
              <w:bottom w:val="single" w:sz="4" w:space="0" w:color="auto"/>
              <w:right w:val="single" w:sz="4" w:space="0" w:color="auto"/>
            </w:tcBorders>
            <w:noWrap/>
            <w:hideMark/>
          </w:tcPr>
          <w:p w14:paraId="75E8968C"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4,22</w:t>
            </w:r>
          </w:p>
        </w:tc>
        <w:tc>
          <w:tcPr>
            <w:tcW w:w="997" w:type="dxa"/>
            <w:tcBorders>
              <w:top w:val="nil"/>
              <w:left w:val="nil"/>
              <w:bottom w:val="single" w:sz="4" w:space="0" w:color="auto"/>
              <w:right w:val="single" w:sz="4" w:space="0" w:color="auto"/>
            </w:tcBorders>
            <w:noWrap/>
            <w:hideMark/>
          </w:tcPr>
          <w:p w14:paraId="76E467FA"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99,51</w:t>
            </w:r>
          </w:p>
        </w:tc>
        <w:tc>
          <w:tcPr>
            <w:tcW w:w="960" w:type="dxa"/>
            <w:tcBorders>
              <w:top w:val="nil"/>
              <w:left w:val="nil"/>
              <w:bottom w:val="single" w:sz="4" w:space="0" w:color="auto"/>
              <w:right w:val="single" w:sz="4" w:space="0" w:color="auto"/>
            </w:tcBorders>
            <w:noWrap/>
            <w:hideMark/>
          </w:tcPr>
          <w:p w14:paraId="3375CA0C"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33,6484</w:t>
            </w:r>
          </w:p>
        </w:tc>
        <w:tc>
          <w:tcPr>
            <w:tcW w:w="960" w:type="dxa"/>
            <w:tcBorders>
              <w:top w:val="nil"/>
              <w:left w:val="nil"/>
              <w:bottom w:val="single" w:sz="4" w:space="0" w:color="auto"/>
              <w:right w:val="single" w:sz="4" w:space="0" w:color="auto"/>
            </w:tcBorders>
            <w:noWrap/>
            <w:hideMark/>
          </w:tcPr>
          <w:p w14:paraId="48D4FB4F"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1,38681</w:t>
            </w:r>
          </w:p>
        </w:tc>
        <w:tc>
          <w:tcPr>
            <w:tcW w:w="967" w:type="dxa"/>
            <w:tcBorders>
              <w:top w:val="nil"/>
              <w:left w:val="nil"/>
              <w:bottom w:val="single" w:sz="4" w:space="0" w:color="auto"/>
              <w:right w:val="single" w:sz="4" w:space="0" w:color="auto"/>
            </w:tcBorders>
            <w:noWrap/>
            <w:hideMark/>
          </w:tcPr>
          <w:p w14:paraId="2DB9F472"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21,66274</w:t>
            </w:r>
          </w:p>
        </w:tc>
      </w:tr>
      <w:tr w:rsidR="00737F00" w14:paraId="6F9443B2" w14:textId="77777777" w:rsidTr="00737F00">
        <w:trPr>
          <w:trHeight w:val="300"/>
        </w:trPr>
        <w:tc>
          <w:tcPr>
            <w:tcW w:w="1876" w:type="dxa"/>
            <w:tcBorders>
              <w:top w:val="nil"/>
              <w:left w:val="single" w:sz="4" w:space="0" w:color="auto"/>
              <w:bottom w:val="single" w:sz="4" w:space="0" w:color="auto"/>
              <w:right w:val="single" w:sz="4" w:space="0" w:color="auto"/>
            </w:tcBorders>
            <w:hideMark/>
          </w:tcPr>
          <w:p w14:paraId="1F8159B9"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Good Corporate</w:t>
            </w:r>
          </w:p>
        </w:tc>
        <w:tc>
          <w:tcPr>
            <w:tcW w:w="960" w:type="dxa"/>
            <w:tcBorders>
              <w:top w:val="nil"/>
              <w:left w:val="nil"/>
              <w:bottom w:val="single" w:sz="4" w:space="0" w:color="auto"/>
              <w:right w:val="single" w:sz="4" w:space="0" w:color="auto"/>
            </w:tcBorders>
            <w:noWrap/>
            <w:hideMark/>
          </w:tcPr>
          <w:p w14:paraId="405BD1DE"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244</w:t>
            </w:r>
          </w:p>
        </w:tc>
        <w:tc>
          <w:tcPr>
            <w:tcW w:w="960" w:type="dxa"/>
            <w:tcBorders>
              <w:top w:val="nil"/>
              <w:left w:val="nil"/>
              <w:bottom w:val="single" w:sz="4" w:space="0" w:color="auto"/>
              <w:right w:val="single" w:sz="4" w:space="0" w:color="auto"/>
            </w:tcBorders>
            <w:noWrap/>
            <w:hideMark/>
          </w:tcPr>
          <w:p w14:paraId="1D8F0C50"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2,00</w:t>
            </w:r>
          </w:p>
        </w:tc>
        <w:tc>
          <w:tcPr>
            <w:tcW w:w="997" w:type="dxa"/>
            <w:tcBorders>
              <w:top w:val="nil"/>
              <w:left w:val="nil"/>
              <w:bottom w:val="single" w:sz="4" w:space="0" w:color="auto"/>
              <w:right w:val="single" w:sz="4" w:space="0" w:color="auto"/>
            </w:tcBorders>
            <w:noWrap/>
            <w:hideMark/>
          </w:tcPr>
          <w:p w14:paraId="13D82AAA"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5,00</w:t>
            </w:r>
          </w:p>
        </w:tc>
        <w:tc>
          <w:tcPr>
            <w:tcW w:w="960" w:type="dxa"/>
            <w:tcBorders>
              <w:top w:val="nil"/>
              <w:left w:val="nil"/>
              <w:bottom w:val="single" w:sz="4" w:space="0" w:color="auto"/>
              <w:right w:val="single" w:sz="4" w:space="0" w:color="auto"/>
            </w:tcBorders>
            <w:noWrap/>
            <w:hideMark/>
          </w:tcPr>
          <w:p w14:paraId="66E967D0"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3,9518</w:t>
            </w:r>
          </w:p>
        </w:tc>
        <w:tc>
          <w:tcPr>
            <w:tcW w:w="960" w:type="dxa"/>
            <w:tcBorders>
              <w:top w:val="nil"/>
              <w:left w:val="nil"/>
              <w:bottom w:val="single" w:sz="4" w:space="0" w:color="auto"/>
              <w:right w:val="single" w:sz="4" w:space="0" w:color="auto"/>
            </w:tcBorders>
            <w:noWrap/>
            <w:hideMark/>
          </w:tcPr>
          <w:p w14:paraId="23408F46"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0,03665</w:t>
            </w:r>
          </w:p>
        </w:tc>
        <w:tc>
          <w:tcPr>
            <w:tcW w:w="967" w:type="dxa"/>
            <w:tcBorders>
              <w:top w:val="nil"/>
              <w:left w:val="nil"/>
              <w:bottom w:val="single" w:sz="4" w:space="0" w:color="auto"/>
              <w:right w:val="single" w:sz="4" w:space="0" w:color="auto"/>
            </w:tcBorders>
            <w:noWrap/>
            <w:hideMark/>
          </w:tcPr>
          <w:p w14:paraId="7EC53BCE"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0,57242</w:t>
            </w:r>
          </w:p>
        </w:tc>
      </w:tr>
      <w:tr w:rsidR="00737F00" w14:paraId="143FA97A" w14:textId="77777777" w:rsidTr="00737F00">
        <w:trPr>
          <w:trHeight w:val="300"/>
        </w:trPr>
        <w:tc>
          <w:tcPr>
            <w:tcW w:w="1876" w:type="dxa"/>
            <w:tcBorders>
              <w:top w:val="nil"/>
              <w:left w:val="single" w:sz="4" w:space="0" w:color="auto"/>
              <w:bottom w:val="single" w:sz="4" w:space="0" w:color="auto"/>
              <w:right w:val="single" w:sz="4" w:space="0" w:color="auto"/>
            </w:tcBorders>
            <w:hideMark/>
          </w:tcPr>
          <w:p w14:paraId="25F5F93A"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Nilai Perusahaan</w:t>
            </w:r>
          </w:p>
        </w:tc>
        <w:tc>
          <w:tcPr>
            <w:tcW w:w="960" w:type="dxa"/>
            <w:tcBorders>
              <w:top w:val="nil"/>
              <w:left w:val="nil"/>
              <w:bottom w:val="single" w:sz="4" w:space="0" w:color="auto"/>
              <w:right w:val="single" w:sz="4" w:space="0" w:color="auto"/>
            </w:tcBorders>
            <w:noWrap/>
            <w:hideMark/>
          </w:tcPr>
          <w:p w14:paraId="6866FFC2"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244</w:t>
            </w:r>
          </w:p>
        </w:tc>
        <w:tc>
          <w:tcPr>
            <w:tcW w:w="960" w:type="dxa"/>
            <w:tcBorders>
              <w:top w:val="nil"/>
              <w:left w:val="nil"/>
              <w:bottom w:val="single" w:sz="4" w:space="0" w:color="auto"/>
              <w:right w:val="single" w:sz="4" w:space="0" w:color="auto"/>
            </w:tcBorders>
            <w:noWrap/>
            <w:hideMark/>
          </w:tcPr>
          <w:p w14:paraId="526E9F93"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1,01</w:t>
            </w:r>
          </w:p>
        </w:tc>
        <w:tc>
          <w:tcPr>
            <w:tcW w:w="997" w:type="dxa"/>
            <w:tcBorders>
              <w:top w:val="nil"/>
              <w:left w:val="nil"/>
              <w:bottom w:val="single" w:sz="4" w:space="0" w:color="auto"/>
              <w:right w:val="single" w:sz="4" w:space="0" w:color="auto"/>
            </w:tcBorders>
            <w:noWrap/>
            <w:hideMark/>
          </w:tcPr>
          <w:p w14:paraId="78ECAC08"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29,79</w:t>
            </w:r>
          </w:p>
        </w:tc>
        <w:tc>
          <w:tcPr>
            <w:tcW w:w="960" w:type="dxa"/>
            <w:tcBorders>
              <w:top w:val="nil"/>
              <w:left w:val="nil"/>
              <w:bottom w:val="single" w:sz="4" w:space="0" w:color="auto"/>
              <w:right w:val="single" w:sz="4" w:space="0" w:color="auto"/>
            </w:tcBorders>
            <w:noWrap/>
            <w:hideMark/>
          </w:tcPr>
          <w:p w14:paraId="2A90A2BF"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2,6873</w:t>
            </w:r>
          </w:p>
        </w:tc>
        <w:tc>
          <w:tcPr>
            <w:tcW w:w="960" w:type="dxa"/>
            <w:tcBorders>
              <w:top w:val="nil"/>
              <w:left w:val="nil"/>
              <w:bottom w:val="single" w:sz="4" w:space="0" w:color="auto"/>
              <w:right w:val="single" w:sz="4" w:space="0" w:color="auto"/>
            </w:tcBorders>
            <w:noWrap/>
            <w:hideMark/>
          </w:tcPr>
          <w:p w14:paraId="09C04C56"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0,12743</w:t>
            </w:r>
          </w:p>
        </w:tc>
        <w:tc>
          <w:tcPr>
            <w:tcW w:w="967" w:type="dxa"/>
            <w:tcBorders>
              <w:top w:val="nil"/>
              <w:left w:val="nil"/>
              <w:bottom w:val="single" w:sz="4" w:space="0" w:color="auto"/>
              <w:right w:val="single" w:sz="4" w:space="0" w:color="auto"/>
            </w:tcBorders>
            <w:noWrap/>
            <w:hideMark/>
          </w:tcPr>
          <w:p w14:paraId="313D35A4"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1,99049</w:t>
            </w:r>
          </w:p>
        </w:tc>
      </w:tr>
      <w:tr w:rsidR="00737F00" w14:paraId="35845EEF" w14:textId="77777777" w:rsidTr="00737F00">
        <w:trPr>
          <w:trHeight w:val="300"/>
        </w:trPr>
        <w:tc>
          <w:tcPr>
            <w:tcW w:w="1876" w:type="dxa"/>
            <w:tcBorders>
              <w:top w:val="nil"/>
              <w:left w:val="single" w:sz="4" w:space="0" w:color="auto"/>
              <w:bottom w:val="single" w:sz="4" w:space="0" w:color="auto"/>
              <w:right w:val="single" w:sz="4" w:space="0" w:color="auto"/>
            </w:tcBorders>
            <w:hideMark/>
          </w:tcPr>
          <w:p w14:paraId="69555914"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Valid N (listwise)</w:t>
            </w:r>
          </w:p>
        </w:tc>
        <w:tc>
          <w:tcPr>
            <w:tcW w:w="960" w:type="dxa"/>
            <w:tcBorders>
              <w:top w:val="nil"/>
              <w:left w:val="nil"/>
              <w:bottom w:val="single" w:sz="4" w:space="0" w:color="auto"/>
              <w:right w:val="single" w:sz="4" w:space="0" w:color="auto"/>
            </w:tcBorders>
            <w:noWrap/>
            <w:hideMark/>
          </w:tcPr>
          <w:p w14:paraId="0A47311B"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244</w:t>
            </w:r>
          </w:p>
        </w:tc>
        <w:tc>
          <w:tcPr>
            <w:tcW w:w="960" w:type="dxa"/>
            <w:tcBorders>
              <w:top w:val="nil"/>
              <w:left w:val="nil"/>
              <w:bottom w:val="single" w:sz="4" w:space="0" w:color="auto"/>
              <w:right w:val="single" w:sz="4" w:space="0" w:color="auto"/>
            </w:tcBorders>
            <w:hideMark/>
          </w:tcPr>
          <w:p w14:paraId="68338E4E"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c>
          <w:tcPr>
            <w:tcW w:w="997" w:type="dxa"/>
            <w:tcBorders>
              <w:top w:val="nil"/>
              <w:left w:val="nil"/>
              <w:bottom w:val="single" w:sz="4" w:space="0" w:color="auto"/>
              <w:right w:val="single" w:sz="4" w:space="0" w:color="auto"/>
            </w:tcBorders>
            <w:hideMark/>
          </w:tcPr>
          <w:p w14:paraId="1CE73AB4"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c>
          <w:tcPr>
            <w:tcW w:w="960" w:type="dxa"/>
            <w:tcBorders>
              <w:top w:val="nil"/>
              <w:left w:val="nil"/>
              <w:bottom w:val="single" w:sz="4" w:space="0" w:color="auto"/>
              <w:right w:val="single" w:sz="4" w:space="0" w:color="auto"/>
            </w:tcBorders>
            <w:hideMark/>
          </w:tcPr>
          <w:p w14:paraId="6DC3C23C"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c>
          <w:tcPr>
            <w:tcW w:w="960" w:type="dxa"/>
            <w:tcBorders>
              <w:top w:val="nil"/>
              <w:left w:val="nil"/>
              <w:bottom w:val="single" w:sz="4" w:space="0" w:color="auto"/>
              <w:right w:val="single" w:sz="4" w:space="0" w:color="auto"/>
            </w:tcBorders>
            <w:hideMark/>
          </w:tcPr>
          <w:p w14:paraId="09FF7681"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c>
          <w:tcPr>
            <w:tcW w:w="967" w:type="dxa"/>
            <w:tcBorders>
              <w:top w:val="nil"/>
              <w:left w:val="nil"/>
              <w:bottom w:val="single" w:sz="4" w:space="0" w:color="auto"/>
              <w:right w:val="single" w:sz="4" w:space="0" w:color="auto"/>
            </w:tcBorders>
            <w:hideMark/>
          </w:tcPr>
          <w:p w14:paraId="2871EC56"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 </w:t>
            </w:r>
          </w:p>
        </w:tc>
      </w:tr>
    </w:tbl>
    <w:p w14:paraId="2061D4EF" w14:textId="77777777" w:rsidR="00DF7FE6" w:rsidRDefault="00DF7FE6" w:rsidP="0032423F">
      <w:pPr>
        <w:jc w:val="both"/>
        <w:rPr>
          <w:iCs/>
          <w:sz w:val="22"/>
        </w:rPr>
      </w:pPr>
      <w:r>
        <w:rPr>
          <w:sz w:val="22"/>
          <w:lang w:val="en"/>
        </w:rPr>
        <w:t>Source: data processed</w:t>
      </w:r>
      <w:r>
        <w:rPr>
          <w:iCs/>
          <w:sz w:val="22"/>
          <w:lang w:val="en"/>
        </w:rPr>
        <w:t xml:space="preserve"> 2021</w:t>
      </w:r>
    </w:p>
    <w:p w14:paraId="6432963C" w14:textId="77777777" w:rsidR="00DF7FE6" w:rsidRDefault="00DF7FE6" w:rsidP="0032423F">
      <w:pPr>
        <w:pStyle w:val="ListParagraph"/>
        <w:ind w:left="0" w:firstLine="709"/>
        <w:jc w:val="both"/>
        <w:rPr>
          <w:lang w:val="en-US"/>
        </w:rPr>
      </w:pPr>
      <w:r>
        <w:rPr>
          <w:szCs w:val="24"/>
          <w:lang w:val="en"/>
        </w:rPr>
        <w:t xml:space="preserve">Based on Table 1, descriptive static results show that variable </w:t>
      </w:r>
      <w:r>
        <w:rPr>
          <w:i/>
          <w:szCs w:val="24"/>
          <w:lang w:val="en"/>
        </w:rPr>
        <w:t xml:space="preserve">enterprise risk management disclosure, intellectual capital disclosure, good corporate </w:t>
      </w:r>
      <w:r>
        <w:rPr>
          <w:lang w:val="en"/>
        </w:rPr>
        <w:t xml:space="preserve">with independent board of </w:t>
      </w:r>
      <w:r>
        <w:rPr>
          <w:szCs w:val="24"/>
          <w:lang w:val="en"/>
        </w:rPr>
        <w:t xml:space="preserve">commissioners, and the company value has a minimum value of 0.00; </w:t>
      </w:r>
      <w:proofErr w:type="gramStart"/>
      <w:r>
        <w:rPr>
          <w:szCs w:val="24"/>
          <w:lang w:val="en"/>
        </w:rPr>
        <w:t>4.22 ;</w:t>
      </w:r>
      <w:proofErr w:type="gramEnd"/>
      <w:r>
        <w:rPr>
          <w:szCs w:val="24"/>
          <w:lang w:val="en"/>
        </w:rPr>
        <w:t xml:space="preserve"> 2.00 ; and 1.01 while the maximum value is 0.57 ; 99.51 ; 5.00 ; and 29.79. The average value of all variables is 0.77; 33,</w:t>
      </w:r>
      <w:proofErr w:type="gramStart"/>
      <w:r>
        <w:rPr>
          <w:szCs w:val="24"/>
          <w:lang w:val="en"/>
        </w:rPr>
        <w:t>65 ;</w:t>
      </w:r>
      <w:proofErr w:type="gramEnd"/>
      <w:r>
        <w:rPr>
          <w:szCs w:val="24"/>
          <w:lang w:val="en"/>
        </w:rPr>
        <w:t xml:space="preserve"> 3,95 ; and 2.69 is greater than the standard deviation value of 0.19; 21,66 ; 0,57 ; and 1.99 this indicates that the data range for all variables is small and homogeneous.</w:t>
      </w:r>
    </w:p>
    <w:p w14:paraId="03BA6B98" w14:textId="77777777" w:rsidR="00DF7FE6" w:rsidRDefault="00DF7FE6" w:rsidP="0032423F">
      <w:pPr>
        <w:jc w:val="both"/>
        <w:rPr>
          <w:lang w:val="en-US"/>
        </w:rPr>
      </w:pPr>
    </w:p>
    <w:p w14:paraId="2CD46FF8" w14:textId="6CD83F1A" w:rsidR="00737F00" w:rsidRDefault="00737F00" w:rsidP="002C13AB">
      <w:pPr>
        <w:jc w:val="both"/>
        <w:rPr>
          <w:lang w:val="en-US"/>
        </w:rPr>
      </w:pPr>
    </w:p>
    <w:p w14:paraId="3EF9C99F" w14:textId="0FB8B84C" w:rsidR="00737F00" w:rsidRDefault="00737F00" w:rsidP="002C13AB">
      <w:pPr>
        <w:jc w:val="both"/>
        <w:rPr>
          <w:lang w:val="en-US"/>
        </w:rPr>
      </w:pPr>
    </w:p>
    <w:p w14:paraId="3C8305CA" w14:textId="77777777" w:rsidR="00737F00" w:rsidRDefault="00737F00" w:rsidP="002C13AB">
      <w:pPr>
        <w:jc w:val="both"/>
        <w:rPr>
          <w:lang w:val="en-US"/>
        </w:rPr>
      </w:pPr>
    </w:p>
    <w:p w14:paraId="011EECB8" w14:textId="77777777" w:rsidR="002C13AB" w:rsidRDefault="002C13AB" w:rsidP="002C13AB">
      <w:pPr>
        <w:spacing w:line="480" w:lineRule="auto"/>
        <w:jc w:val="both"/>
        <w:rPr>
          <w:b/>
          <w:szCs w:val="24"/>
          <w:lang w:val="en-US"/>
        </w:rPr>
      </w:pPr>
    </w:p>
    <w:p w14:paraId="39ED14A1" w14:textId="77777777" w:rsidR="002C13AB" w:rsidRDefault="002C13AB" w:rsidP="002C13AB">
      <w:pPr>
        <w:spacing w:line="480" w:lineRule="auto"/>
        <w:jc w:val="both"/>
        <w:rPr>
          <w:b/>
          <w:szCs w:val="24"/>
          <w:lang w:val="en-US"/>
        </w:rPr>
      </w:pPr>
    </w:p>
    <w:p w14:paraId="64911272" w14:textId="77777777" w:rsidR="002C13AB" w:rsidRDefault="002C13AB" w:rsidP="002C13AB">
      <w:pPr>
        <w:spacing w:line="480" w:lineRule="auto"/>
        <w:jc w:val="both"/>
        <w:rPr>
          <w:b/>
          <w:szCs w:val="24"/>
          <w:lang w:val="en-US"/>
        </w:rPr>
      </w:pPr>
    </w:p>
    <w:p w14:paraId="22DD0427" w14:textId="77777777" w:rsidR="00DF7FE6" w:rsidRDefault="00DF7FE6" w:rsidP="00067070">
      <w:pPr>
        <w:spacing w:line="480" w:lineRule="auto"/>
        <w:jc w:val="both"/>
        <w:rPr>
          <w:b/>
          <w:szCs w:val="24"/>
          <w:lang w:val="en-US"/>
        </w:rPr>
      </w:pPr>
      <w:r>
        <w:rPr>
          <w:noProof/>
          <w:lang w:val="en"/>
        </w:rPr>
        <w:lastRenderedPageBreak/>
        <w:drawing>
          <wp:anchor distT="0" distB="0" distL="114300" distR="114300" simplePos="0" relativeHeight="251659264" behindDoc="0" locked="0" layoutInCell="1" allowOverlap="1" wp14:anchorId="13F505A4" wp14:editId="39E62445">
            <wp:simplePos x="0" y="0"/>
            <wp:positionH relativeFrom="column">
              <wp:posOffset>0</wp:posOffset>
            </wp:positionH>
            <wp:positionV relativeFrom="paragraph">
              <wp:posOffset>190500</wp:posOffset>
            </wp:positionV>
            <wp:extent cx="5039995" cy="4035425"/>
            <wp:effectExtent l="0" t="0" r="8255" b="3175"/>
            <wp:wrapNone/>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9995" cy="403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E08">
        <w:rPr>
          <w:b/>
          <w:szCs w:val="24"/>
          <w:lang w:val="en"/>
        </w:rPr>
        <w:t xml:space="preserve">Normality test and </w:t>
      </w:r>
      <w:proofErr w:type="spellStart"/>
      <w:proofErr w:type="gramStart"/>
      <w:r>
        <w:rPr>
          <w:b/>
          <w:szCs w:val="24"/>
          <w:lang w:val="en"/>
        </w:rPr>
        <w:t>A</w:t>
      </w:r>
      <w:r w:rsidRPr="00244E08">
        <w:rPr>
          <w:b/>
          <w:szCs w:val="24"/>
          <w:lang w:val="en"/>
        </w:rPr>
        <w:t>sumsi</w:t>
      </w:r>
      <w:proofErr w:type="spellEnd"/>
      <w:r w:rsidRPr="00244E08">
        <w:rPr>
          <w:b/>
          <w:szCs w:val="24"/>
          <w:lang w:val="en"/>
        </w:rPr>
        <w:t xml:space="preserve"> </w:t>
      </w:r>
      <w:r>
        <w:rPr>
          <w:lang w:val="en"/>
        </w:rPr>
        <w:t xml:space="preserve"> </w:t>
      </w:r>
      <w:proofErr w:type="spellStart"/>
      <w:r>
        <w:rPr>
          <w:b/>
          <w:szCs w:val="24"/>
          <w:lang w:val="en"/>
        </w:rPr>
        <w:t>K</w:t>
      </w:r>
      <w:r w:rsidRPr="00244E08">
        <w:rPr>
          <w:b/>
          <w:szCs w:val="24"/>
          <w:lang w:val="en"/>
        </w:rPr>
        <w:t>lasik</w:t>
      </w:r>
      <w:proofErr w:type="spellEnd"/>
      <w:proofErr w:type="gramEnd"/>
    </w:p>
    <w:p w14:paraId="35AD1B01" w14:textId="00B74172" w:rsidR="002C13AB" w:rsidRPr="002C13AB" w:rsidRDefault="002C13AB" w:rsidP="002C13AB">
      <w:pPr>
        <w:jc w:val="both"/>
        <w:rPr>
          <w:lang w:val="en-US"/>
        </w:rPr>
      </w:pPr>
    </w:p>
    <w:p w14:paraId="52A6DCC0" w14:textId="4951CF18" w:rsidR="003A53FB" w:rsidRDefault="003A53FB" w:rsidP="000406FC">
      <w:pPr>
        <w:pStyle w:val="ListParagraph"/>
        <w:ind w:left="567"/>
        <w:jc w:val="both"/>
      </w:pPr>
    </w:p>
    <w:p w14:paraId="6282B0A5" w14:textId="53F6840E" w:rsidR="002C13AB" w:rsidRDefault="002C13AB" w:rsidP="000406FC">
      <w:pPr>
        <w:pStyle w:val="ListParagraph"/>
        <w:ind w:left="567"/>
        <w:jc w:val="both"/>
      </w:pPr>
    </w:p>
    <w:p w14:paraId="3334EC8C" w14:textId="10637A13" w:rsidR="002C13AB" w:rsidRDefault="002C13AB" w:rsidP="000406FC">
      <w:pPr>
        <w:pStyle w:val="ListParagraph"/>
        <w:ind w:left="567"/>
        <w:jc w:val="both"/>
      </w:pPr>
    </w:p>
    <w:p w14:paraId="534EDBC1" w14:textId="13516571" w:rsidR="002C13AB" w:rsidRDefault="002C13AB" w:rsidP="000406FC">
      <w:pPr>
        <w:pStyle w:val="ListParagraph"/>
        <w:ind w:left="567"/>
        <w:jc w:val="both"/>
      </w:pPr>
    </w:p>
    <w:p w14:paraId="34AD49DD" w14:textId="76F76465" w:rsidR="002C13AB" w:rsidRDefault="002C13AB" w:rsidP="000406FC">
      <w:pPr>
        <w:pStyle w:val="ListParagraph"/>
        <w:ind w:left="567"/>
        <w:jc w:val="both"/>
      </w:pPr>
    </w:p>
    <w:p w14:paraId="0BD370FA" w14:textId="49A1EB14" w:rsidR="002C13AB" w:rsidRDefault="002C13AB" w:rsidP="000406FC">
      <w:pPr>
        <w:pStyle w:val="ListParagraph"/>
        <w:ind w:left="567"/>
        <w:jc w:val="both"/>
      </w:pPr>
    </w:p>
    <w:p w14:paraId="63C44A4F" w14:textId="7C63B60D" w:rsidR="002C13AB" w:rsidRDefault="002C13AB" w:rsidP="000406FC">
      <w:pPr>
        <w:pStyle w:val="ListParagraph"/>
        <w:ind w:left="567"/>
        <w:jc w:val="both"/>
      </w:pPr>
    </w:p>
    <w:p w14:paraId="184C0C82" w14:textId="38888D67" w:rsidR="002C13AB" w:rsidRDefault="002C13AB" w:rsidP="000406FC">
      <w:pPr>
        <w:pStyle w:val="ListParagraph"/>
        <w:ind w:left="567"/>
        <w:jc w:val="both"/>
      </w:pPr>
    </w:p>
    <w:p w14:paraId="69A56868" w14:textId="09A33C45" w:rsidR="002C13AB" w:rsidRDefault="002C13AB" w:rsidP="000406FC">
      <w:pPr>
        <w:pStyle w:val="ListParagraph"/>
        <w:ind w:left="567"/>
        <w:jc w:val="both"/>
      </w:pPr>
    </w:p>
    <w:p w14:paraId="564BD86A" w14:textId="36BA40F0" w:rsidR="002C13AB" w:rsidRDefault="002C13AB" w:rsidP="000406FC">
      <w:pPr>
        <w:pStyle w:val="ListParagraph"/>
        <w:ind w:left="567"/>
        <w:jc w:val="both"/>
      </w:pPr>
    </w:p>
    <w:p w14:paraId="2259F647" w14:textId="7049D962" w:rsidR="002C13AB" w:rsidRDefault="002C13AB" w:rsidP="000406FC">
      <w:pPr>
        <w:pStyle w:val="ListParagraph"/>
        <w:ind w:left="567"/>
        <w:jc w:val="both"/>
      </w:pPr>
    </w:p>
    <w:p w14:paraId="5C256B67" w14:textId="2296305A" w:rsidR="002C13AB" w:rsidRDefault="002C13AB" w:rsidP="000406FC">
      <w:pPr>
        <w:pStyle w:val="ListParagraph"/>
        <w:ind w:left="567"/>
        <w:jc w:val="both"/>
      </w:pPr>
    </w:p>
    <w:p w14:paraId="76C9AFAE" w14:textId="32658EE3" w:rsidR="002C13AB" w:rsidRDefault="002C13AB" w:rsidP="000406FC">
      <w:pPr>
        <w:pStyle w:val="ListParagraph"/>
        <w:ind w:left="567"/>
        <w:jc w:val="both"/>
      </w:pPr>
    </w:p>
    <w:p w14:paraId="7D276ADC" w14:textId="6C3B764D" w:rsidR="002C13AB" w:rsidRDefault="002C13AB" w:rsidP="000406FC">
      <w:pPr>
        <w:pStyle w:val="ListParagraph"/>
        <w:ind w:left="567"/>
        <w:jc w:val="both"/>
      </w:pPr>
    </w:p>
    <w:p w14:paraId="403655E5" w14:textId="7F89F7A5" w:rsidR="002C13AB" w:rsidRDefault="002C13AB" w:rsidP="000406FC">
      <w:pPr>
        <w:pStyle w:val="ListParagraph"/>
        <w:ind w:left="567"/>
        <w:jc w:val="both"/>
      </w:pPr>
    </w:p>
    <w:p w14:paraId="6AEE83C1" w14:textId="5B41650B" w:rsidR="002C13AB" w:rsidRDefault="002C13AB" w:rsidP="000406FC">
      <w:pPr>
        <w:pStyle w:val="ListParagraph"/>
        <w:ind w:left="567"/>
        <w:jc w:val="both"/>
      </w:pPr>
    </w:p>
    <w:p w14:paraId="76CE406B" w14:textId="618A3883" w:rsidR="002C13AB" w:rsidRDefault="002C13AB" w:rsidP="000406FC">
      <w:pPr>
        <w:pStyle w:val="ListParagraph"/>
        <w:ind w:left="567"/>
        <w:jc w:val="both"/>
      </w:pPr>
    </w:p>
    <w:p w14:paraId="0EA6EC4F" w14:textId="34C449B3" w:rsidR="002C13AB" w:rsidRDefault="002C13AB" w:rsidP="000406FC">
      <w:pPr>
        <w:pStyle w:val="ListParagraph"/>
        <w:ind w:left="567"/>
        <w:jc w:val="both"/>
      </w:pPr>
    </w:p>
    <w:p w14:paraId="694C17F0" w14:textId="273F5012" w:rsidR="002C13AB" w:rsidRDefault="002C13AB" w:rsidP="000406FC">
      <w:pPr>
        <w:pStyle w:val="ListParagraph"/>
        <w:ind w:left="567"/>
        <w:jc w:val="both"/>
      </w:pPr>
    </w:p>
    <w:p w14:paraId="42EF7C02" w14:textId="78753EC7" w:rsidR="002C13AB" w:rsidRDefault="002C13AB" w:rsidP="000406FC">
      <w:pPr>
        <w:pStyle w:val="ListParagraph"/>
        <w:ind w:left="567"/>
        <w:jc w:val="both"/>
      </w:pPr>
    </w:p>
    <w:p w14:paraId="44F64144" w14:textId="3632B9FA" w:rsidR="002C13AB" w:rsidRDefault="002C13AB" w:rsidP="000406FC">
      <w:pPr>
        <w:pStyle w:val="ListParagraph"/>
        <w:ind w:left="567"/>
        <w:jc w:val="both"/>
      </w:pPr>
    </w:p>
    <w:p w14:paraId="20401177" w14:textId="77777777" w:rsidR="00DF7FE6" w:rsidRDefault="00DF7FE6" w:rsidP="00B4561F">
      <w:pPr>
        <w:ind w:firstLine="720"/>
        <w:jc w:val="center"/>
        <w:rPr>
          <w:bCs/>
          <w:szCs w:val="24"/>
          <w:lang w:val="en-US"/>
        </w:rPr>
      </w:pPr>
      <w:proofErr w:type="spellStart"/>
      <w:r>
        <w:rPr>
          <w:szCs w:val="24"/>
          <w:lang w:val="en"/>
        </w:rPr>
        <w:t>Garmbar</w:t>
      </w:r>
      <w:proofErr w:type="spellEnd"/>
      <w:r>
        <w:rPr>
          <w:szCs w:val="24"/>
          <w:lang w:val="en"/>
        </w:rPr>
        <w:t xml:space="preserve"> 1. Normality Test</w:t>
      </w:r>
    </w:p>
    <w:p w14:paraId="3EF52B32" w14:textId="54EAC3F1" w:rsidR="002C13AB" w:rsidRDefault="00DF7FE6" w:rsidP="002C13AB">
      <w:pPr>
        <w:ind w:firstLine="720"/>
        <w:jc w:val="center"/>
        <w:rPr>
          <w:bCs/>
          <w:szCs w:val="24"/>
          <w:lang w:val="en-US"/>
        </w:rPr>
      </w:pPr>
      <w:r>
        <w:rPr>
          <w:szCs w:val="24"/>
          <w:lang w:val="en"/>
        </w:rPr>
        <w:t>Source: Data processed</w:t>
      </w:r>
    </w:p>
    <w:p w14:paraId="5E86F919" w14:textId="763A741F" w:rsidR="002C13AB" w:rsidRDefault="00DF7FE6" w:rsidP="002C13AB">
      <w:pPr>
        <w:ind w:firstLine="720"/>
        <w:jc w:val="both"/>
        <w:rPr>
          <w:bCs/>
          <w:szCs w:val="24"/>
          <w:lang w:val="en-US"/>
        </w:rPr>
      </w:pPr>
      <w:r>
        <w:rPr>
          <w:szCs w:val="24"/>
          <w:lang w:val="en"/>
        </w:rPr>
        <w:t xml:space="preserve">Based on figure1 above shows that the dots spread around the diagonal line, so it can be concluded that the data is normal </w:t>
      </w:r>
      <w:proofErr w:type="gramStart"/>
      <w:r>
        <w:rPr>
          <w:szCs w:val="24"/>
          <w:lang w:val="en"/>
        </w:rPr>
        <w:t>distribution.</w:t>
      </w:r>
      <w:r w:rsidR="002C13AB">
        <w:rPr>
          <w:bCs/>
          <w:szCs w:val="24"/>
          <w:lang w:val="en-US"/>
        </w:rPr>
        <w:t>.</w:t>
      </w:r>
      <w:proofErr w:type="gramEnd"/>
    </w:p>
    <w:p w14:paraId="69366501" w14:textId="77777777" w:rsidR="00C666D5" w:rsidRDefault="00C666D5" w:rsidP="002C13AB">
      <w:pPr>
        <w:spacing w:line="480" w:lineRule="auto"/>
        <w:jc w:val="both"/>
        <w:rPr>
          <w:b/>
          <w:szCs w:val="24"/>
          <w:lang w:val="en-US"/>
        </w:rPr>
      </w:pPr>
    </w:p>
    <w:p w14:paraId="50B3FD7B" w14:textId="77777777" w:rsidR="00DF7FE6" w:rsidRDefault="00DF7FE6" w:rsidP="00575E7C">
      <w:pPr>
        <w:jc w:val="both"/>
        <w:rPr>
          <w:b/>
          <w:szCs w:val="24"/>
          <w:lang w:val="en-US"/>
        </w:rPr>
      </w:pPr>
      <w:r>
        <w:rPr>
          <w:b/>
          <w:szCs w:val="24"/>
          <w:lang w:val="en"/>
        </w:rPr>
        <w:t>Multicollinearity Test</w:t>
      </w:r>
    </w:p>
    <w:p w14:paraId="6380F825" w14:textId="24102F0D" w:rsidR="00C666D5" w:rsidRDefault="00DF7FE6" w:rsidP="00C666D5">
      <w:pPr>
        <w:jc w:val="both"/>
        <w:rPr>
          <w:szCs w:val="24"/>
          <w:lang w:val="en-US"/>
        </w:rPr>
      </w:pPr>
      <w:r>
        <w:rPr>
          <w:szCs w:val="24"/>
          <w:lang w:val="en"/>
        </w:rPr>
        <w:t>Table 2. Multicollinearity Test Results</w:t>
      </w:r>
    </w:p>
    <w:tbl>
      <w:tblPr>
        <w:tblW w:w="4640" w:type="dxa"/>
        <w:tblLook w:val="04A0" w:firstRow="1" w:lastRow="0" w:firstColumn="1" w:lastColumn="0" w:noHBand="0" w:noVBand="1"/>
      </w:tblPr>
      <w:tblGrid>
        <w:gridCol w:w="317"/>
        <w:gridCol w:w="2346"/>
        <w:gridCol w:w="1017"/>
        <w:gridCol w:w="960"/>
      </w:tblGrid>
      <w:tr w:rsidR="00C666D5" w:rsidRPr="00CE1363" w14:paraId="100FCBEE" w14:textId="77777777" w:rsidTr="002E7CEB">
        <w:trPr>
          <w:trHeight w:val="240"/>
        </w:trPr>
        <w:tc>
          <w:tcPr>
            <w:tcW w:w="4640" w:type="dxa"/>
            <w:gridSpan w:val="4"/>
            <w:tcBorders>
              <w:top w:val="nil"/>
              <w:left w:val="nil"/>
              <w:bottom w:val="nil"/>
              <w:right w:val="nil"/>
            </w:tcBorders>
            <w:shd w:val="clear" w:color="auto" w:fill="auto"/>
            <w:vAlign w:val="center"/>
            <w:hideMark/>
          </w:tcPr>
          <w:p w14:paraId="65BC9E3F" w14:textId="77777777" w:rsidR="00C666D5" w:rsidRPr="00CE1363" w:rsidRDefault="00C666D5" w:rsidP="002E7CEB">
            <w:pPr>
              <w:jc w:val="center"/>
              <w:rPr>
                <w:rFonts w:ascii="Arial Bold" w:eastAsia="Times New Roman" w:hAnsi="Arial Bold" w:cs="Calibri"/>
                <w:b/>
                <w:bCs/>
                <w:color w:val="993300"/>
                <w:sz w:val="22"/>
                <w:lang w:val="en-ID" w:eastAsia="en-ID"/>
              </w:rPr>
            </w:pPr>
            <w:proofErr w:type="spellStart"/>
            <w:r w:rsidRPr="00CE1363">
              <w:rPr>
                <w:rFonts w:ascii="Arial Bold" w:eastAsia="Times New Roman" w:hAnsi="Arial Bold" w:cs="Calibri"/>
                <w:b/>
                <w:bCs/>
                <w:color w:val="993300"/>
                <w:sz w:val="22"/>
                <w:lang w:val="en-ID" w:eastAsia="en-ID"/>
              </w:rPr>
              <w:t>Coefficients</w:t>
            </w:r>
            <w:r w:rsidRPr="00CE1363">
              <w:rPr>
                <w:rFonts w:ascii="Arial Bold" w:eastAsia="Times New Roman" w:hAnsi="Arial Bold" w:cs="Calibri"/>
                <w:b/>
                <w:bCs/>
                <w:color w:val="993300"/>
                <w:sz w:val="22"/>
                <w:vertAlign w:val="superscript"/>
                <w:lang w:val="en-ID" w:eastAsia="en-ID"/>
              </w:rPr>
              <w:t>a</w:t>
            </w:r>
            <w:proofErr w:type="spellEnd"/>
          </w:p>
        </w:tc>
      </w:tr>
      <w:tr w:rsidR="00C666D5" w:rsidRPr="00CE1363" w14:paraId="7710B8D6" w14:textId="77777777" w:rsidTr="002E7CEB">
        <w:trPr>
          <w:trHeight w:val="690"/>
        </w:trPr>
        <w:tc>
          <w:tcPr>
            <w:tcW w:w="27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0F124C" w14:textId="77777777" w:rsidR="00C666D5" w:rsidRPr="00CE1363" w:rsidRDefault="00C666D5" w:rsidP="002E7CEB">
            <w:pPr>
              <w:jc w:val="cente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Model</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623DC739" w14:textId="77777777" w:rsidR="00C666D5" w:rsidRPr="00CE1363" w:rsidRDefault="00C666D5" w:rsidP="002E7CEB">
            <w:pPr>
              <w:jc w:val="cente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Collinearity Statistics</w:t>
            </w:r>
          </w:p>
        </w:tc>
      </w:tr>
      <w:tr w:rsidR="00C666D5" w:rsidRPr="00CE1363" w14:paraId="758A1987" w14:textId="77777777" w:rsidTr="002E7CEB">
        <w:trPr>
          <w:trHeight w:val="300"/>
        </w:trPr>
        <w:tc>
          <w:tcPr>
            <w:tcW w:w="2720" w:type="dxa"/>
            <w:gridSpan w:val="2"/>
            <w:vMerge/>
            <w:tcBorders>
              <w:top w:val="single" w:sz="4" w:space="0" w:color="auto"/>
              <w:left w:val="single" w:sz="4" w:space="0" w:color="auto"/>
              <w:bottom w:val="single" w:sz="4" w:space="0" w:color="auto"/>
              <w:right w:val="single" w:sz="4" w:space="0" w:color="auto"/>
            </w:tcBorders>
            <w:vAlign w:val="center"/>
            <w:hideMark/>
          </w:tcPr>
          <w:p w14:paraId="578FCF7E" w14:textId="77777777" w:rsidR="00C666D5" w:rsidRPr="00CE1363" w:rsidRDefault="00C666D5" w:rsidP="002E7CEB">
            <w:pPr>
              <w:rPr>
                <w:rFonts w:ascii="Arial" w:eastAsia="Times New Roman" w:hAnsi="Arial" w:cs="Arial"/>
                <w:color w:val="000000"/>
                <w:sz w:val="18"/>
                <w:szCs w:val="18"/>
                <w:lang w:val="en-ID" w:eastAsia="en-ID"/>
              </w:rPr>
            </w:pPr>
          </w:p>
        </w:tc>
        <w:tc>
          <w:tcPr>
            <w:tcW w:w="960" w:type="dxa"/>
            <w:tcBorders>
              <w:top w:val="nil"/>
              <w:left w:val="nil"/>
              <w:bottom w:val="single" w:sz="4" w:space="0" w:color="auto"/>
              <w:right w:val="single" w:sz="4" w:space="0" w:color="auto"/>
            </w:tcBorders>
            <w:shd w:val="clear" w:color="auto" w:fill="auto"/>
            <w:vAlign w:val="center"/>
            <w:hideMark/>
          </w:tcPr>
          <w:p w14:paraId="43180863" w14:textId="77777777" w:rsidR="00C666D5" w:rsidRPr="00CE1363" w:rsidRDefault="00C666D5" w:rsidP="002E7CEB">
            <w:pPr>
              <w:jc w:val="cente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Tolerance</w:t>
            </w:r>
          </w:p>
        </w:tc>
        <w:tc>
          <w:tcPr>
            <w:tcW w:w="960" w:type="dxa"/>
            <w:tcBorders>
              <w:top w:val="nil"/>
              <w:left w:val="nil"/>
              <w:bottom w:val="single" w:sz="4" w:space="0" w:color="auto"/>
              <w:right w:val="single" w:sz="4" w:space="0" w:color="auto"/>
            </w:tcBorders>
            <w:shd w:val="clear" w:color="auto" w:fill="auto"/>
            <w:vAlign w:val="center"/>
            <w:hideMark/>
          </w:tcPr>
          <w:p w14:paraId="0C06A239" w14:textId="77777777" w:rsidR="00C666D5" w:rsidRPr="00CE1363" w:rsidRDefault="00C666D5" w:rsidP="002E7CEB">
            <w:pPr>
              <w:jc w:val="cente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VIF</w:t>
            </w:r>
          </w:p>
        </w:tc>
      </w:tr>
      <w:tr w:rsidR="00C666D5" w:rsidRPr="00CE1363" w14:paraId="0E1990D6" w14:textId="77777777" w:rsidTr="002E7CEB">
        <w:trPr>
          <w:trHeight w:val="300"/>
        </w:trPr>
        <w:tc>
          <w:tcPr>
            <w:tcW w:w="188" w:type="dxa"/>
            <w:vMerge w:val="restart"/>
            <w:tcBorders>
              <w:top w:val="nil"/>
              <w:left w:val="single" w:sz="4" w:space="0" w:color="auto"/>
              <w:bottom w:val="single" w:sz="4" w:space="0" w:color="auto"/>
              <w:right w:val="single" w:sz="4" w:space="0" w:color="auto"/>
            </w:tcBorders>
            <w:shd w:val="clear" w:color="auto" w:fill="auto"/>
            <w:noWrap/>
            <w:hideMark/>
          </w:tcPr>
          <w:p w14:paraId="4E02526B"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1</w:t>
            </w:r>
          </w:p>
        </w:tc>
        <w:tc>
          <w:tcPr>
            <w:tcW w:w="2532" w:type="dxa"/>
            <w:tcBorders>
              <w:top w:val="nil"/>
              <w:left w:val="nil"/>
              <w:bottom w:val="single" w:sz="4" w:space="0" w:color="auto"/>
              <w:right w:val="single" w:sz="4" w:space="0" w:color="auto"/>
            </w:tcBorders>
            <w:shd w:val="clear" w:color="auto" w:fill="auto"/>
            <w:hideMark/>
          </w:tcPr>
          <w:p w14:paraId="4A20AECF"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(Constant)</w:t>
            </w:r>
          </w:p>
        </w:tc>
        <w:tc>
          <w:tcPr>
            <w:tcW w:w="960" w:type="dxa"/>
            <w:tcBorders>
              <w:top w:val="nil"/>
              <w:left w:val="nil"/>
              <w:bottom w:val="single" w:sz="4" w:space="0" w:color="auto"/>
              <w:right w:val="single" w:sz="4" w:space="0" w:color="auto"/>
            </w:tcBorders>
            <w:shd w:val="clear" w:color="auto" w:fill="auto"/>
            <w:hideMark/>
          </w:tcPr>
          <w:p w14:paraId="62DF102B"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 </w:t>
            </w:r>
          </w:p>
        </w:tc>
        <w:tc>
          <w:tcPr>
            <w:tcW w:w="960" w:type="dxa"/>
            <w:tcBorders>
              <w:top w:val="nil"/>
              <w:left w:val="nil"/>
              <w:bottom w:val="single" w:sz="4" w:space="0" w:color="auto"/>
              <w:right w:val="single" w:sz="4" w:space="0" w:color="auto"/>
            </w:tcBorders>
            <w:shd w:val="clear" w:color="auto" w:fill="auto"/>
            <w:hideMark/>
          </w:tcPr>
          <w:p w14:paraId="227C1AB7"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 </w:t>
            </w:r>
          </w:p>
        </w:tc>
      </w:tr>
      <w:tr w:rsidR="00C666D5" w:rsidRPr="00CE1363" w14:paraId="5DC020B9" w14:textId="77777777" w:rsidTr="002E7CEB">
        <w:trPr>
          <w:trHeight w:val="300"/>
        </w:trPr>
        <w:tc>
          <w:tcPr>
            <w:tcW w:w="188" w:type="dxa"/>
            <w:vMerge/>
            <w:tcBorders>
              <w:top w:val="nil"/>
              <w:left w:val="single" w:sz="4" w:space="0" w:color="auto"/>
              <w:bottom w:val="single" w:sz="4" w:space="0" w:color="auto"/>
              <w:right w:val="single" w:sz="4" w:space="0" w:color="auto"/>
            </w:tcBorders>
            <w:vAlign w:val="center"/>
            <w:hideMark/>
          </w:tcPr>
          <w:p w14:paraId="05D6179F" w14:textId="77777777" w:rsidR="00C666D5" w:rsidRPr="00CE1363" w:rsidRDefault="00C666D5" w:rsidP="002E7CEB">
            <w:pPr>
              <w:rPr>
                <w:rFonts w:ascii="Arial" w:eastAsia="Times New Roman" w:hAnsi="Arial" w:cs="Arial"/>
                <w:color w:val="000000"/>
                <w:sz w:val="18"/>
                <w:szCs w:val="18"/>
                <w:lang w:val="en-ID" w:eastAsia="en-ID"/>
              </w:rPr>
            </w:pPr>
          </w:p>
        </w:tc>
        <w:tc>
          <w:tcPr>
            <w:tcW w:w="2532" w:type="dxa"/>
            <w:tcBorders>
              <w:top w:val="nil"/>
              <w:left w:val="nil"/>
              <w:bottom w:val="single" w:sz="4" w:space="0" w:color="auto"/>
              <w:right w:val="single" w:sz="4" w:space="0" w:color="auto"/>
            </w:tcBorders>
            <w:shd w:val="clear" w:color="auto" w:fill="auto"/>
            <w:hideMark/>
          </w:tcPr>
          <w:p w14:paraId="0154D2E2"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ERM Disclosure</w:t>
            </w:r>
          </w:p>
        </w:tc>
        <w:tc>
          <w:tcPr>
            <w:tcW w:w="960" w:type="dxa"/>
            <w:tcBorders>
              <w:top w:val="nil"/>
              <w:left w:val="nil"/>
              <w:bottom w:val="single" w:sz="4" w:space="0" w:color="auto"/>
              <w:right w:val="single" w:sz="4" w:space="0" w:color="auto"/>
            </w:tcBorders>
            <w:shd w:val="clear" w:color="auto" w:fill="auto"/>
            <w:noWrap/>
            <w:hideMark/>
          </w:tcPr>
          <w:p w14:paraId="2E2ACA58"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0,994</w:t>
            </w:r>
          </w:p>
        </w:tc>
        <w:tc>
          <w:tcPr>
            <w:tcW w:w="960" w:type="dxa"/>
            <w:tcBorders>
              <w:top w:val="nil"/>
              <w:left w:val="nil"/>
              <w:bottom w:val="single" w:sz="4" w:space="0" w:color="auto"/>
              <w:right w:val="single" w:sz="4" w:space="0" w:color="auto"/>
            </w:tcBorders>
            <w:shd w:val="clear" w:color="auto" w:fill="auto"/>
            <w:noWrap/>
            <w:hideMark/>
          </w:tcPr>
          <w:p w14:paraId="3AA16C2F"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1,006</w:t>
            </w:r>
          </w:p>
        </w:tc>
      </w:tr>
      <w:tr w:rsidR="00C666D5" w:rsidRPr="00CE1363" w14:paraId="57C30A0E" w14:textId="77777777" w:rsidTr="002E7CEB">
        <w:trPr>
          <w:trHeight w:val="300"/>
        </w:trPr>
        <w:tc>
          <w:tcPr>
            <w:tcW w:w="188" w:type="dxa"/>
            <w:vMerge/>
            <w:tcBorders>
              <w:top w:val="nil"/>
              <w:left w:val="single" w:sz="4" w:space="0" w:color="auto"/>
              <w:bottom w:val="single" w:sz="4" w:space="0" w:color="auto"/>
              <w:right w:val="single" w:sz="4" w:space="0" w:color="auto"/>
            </w:tcBorders>
            <w:vAlign w:val="center"/>
            <w:hideMark/>
          </w:tcPr>
          <w:p w14:paraId="2EB4530B" w14:textId="77777777" w:rsidR="00C666D5" w:rsidRPr="00CE1363" w:rsidRDefault="00C666D5" w:rsidP="002E7CEB">
            <w:pPr>
              <w:rPr>
                <w:rFonts w:ascii="Arial" w:eastAsia="Times New Roman" w:hAnsi="Arial" w:cs="Arial"/>
                <w:color w:val="000000"/>
                <w:sz w:val="18"/>
                <w:szCs w:val="18"/>
                <w:lang w:val="en-ID" w:eastAsia="en-ID"/>
              </w:rPr>
            </w:pPr>
          </w:p>
        </w:tc>
        <w:tc>
          <w:tcPr>
            <w:tcW w:w="2532" w:type="dxa"/>
            <w:tcBorders>
              <w:top w:val="nil"/>
              <w:left w:val="nil"/>
              <w:bottom w:val="single" w:sz="4" w:space="0" w:color="auto"/>
              <w:right w:val="single" w:sz="4" w:space="0" w:color="auto"/>
            </w:tcBorders>
            <w:shd w:val="clear" w:color="auto" w:fill="auto"/>
            <w:hideMark/>
          </w:tcPr>
          <w:p w14:paraId="56E28DCF"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Intellectual Capital</w:t>
            </w:r>
          </w:p>
        </w:tc>
        <w:tc>
          <w:tcPr>
            <w:tcW w:w="960" w:type="dxa"/>
            <w:tcBorders>
              <w:top w:val="nil"/>
              <w:left w:val="nil"/>
              <w:bottom w:val="single" w:sz="4" w:space="0" w:color="auto"/>
              <w:right w:val="single" w:sz="4" w:space="0" w:color="auto"/>
            </w:tcBorders>
            <w:shd w:val="clear" w:color="auto" w:fill="auto"/>
            <w:noWrap/>
            <w:hideMark/>
          </w:tcPr>
          <w:p w14:paraId="4C671C9C"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0,997</w:t>
            </w:r>
          </w:p>
        </w:tc>
        <w:tc>
          <w:tcPr>
            <w:tcW w:w="960" w:type="dxa"/>
            <w:tcBorders>
              <w:top w:val="nil"/>
              <w:left w:val="nil"/>
              <w:bottom w:val="single" w:sz="4" w:space="0" w:color="auto"/>
              <w:right w:val="single" w:sz="4" w:space="0" w:color="auto"/>
            </w:tcBorders>
            <w:shd w:val="clear" w:color="auto" w:fill="auto"/>
            <w:noWrap/>
            <w:hideMark/>
          </w:tcPr>
          <w:p w14:paraId="2AC1616B"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1,003</w:t>
            </w:r>
          </w:p>
        </w:tc>
      </w:tr>
      <w:tr w:rsidR="00C666D5" w:rsidRPr="00CE1363" w14:paraId="708C70AF" w14:textId="77777777" w:rsidTr="002E7CEB">
        <w:trPr>
          <w:trHeight w:val="300"/>
        </w:trPr>
        <w:tc>
          <w:tcPr>
            <w:tcW w:w="188" w:type="dxa"/>
            <w:vMerge/>
            <w:tcBorders>
              <w:top w:val="nil"/>
              <w:left w:val="single" w:sz="4" w:space="0" w:color="auto"/>
              <w:bottom w:val="single" w:sz="4" w:space="0" w:color="auto"/>
              <w:right w:val="single" w:sz="4" w:space="0" w:color="auto"/>
            </w:tcBorders>
            <w:vAlign w:val="center"/>
            <w:hideMark/>
          </w:tcPr>
          <w:p w14:paraId="7065A029" w14:textId="77777777" w:rsidR="00C666D5" w:rsidRPr="00CE1363" w:rsidRDefault="00C666D5" w:rsidP="002E7CEB">
            <w:pPr>
              <w:rPr>
                <w:rFonts w:ascii="Arial" w:eastAsia="Times New Roman" w:hAnsi="Arial" w:cs="Arial"/>
                <w:color w:val="000000"/>
                <w:sz w:val="18"/>
                <w:szCs w:val="18"/>
                <w:lang w:val="en-ID" w:eastAsia="en-ID"/>
              </w:rPr>
            </w:pPr>
          </w:p>
        </w:tc>
        <w:tc>
          <w:tcPr>
            <w:tcW w:w="2532" w:type="dxa"/>
            <w:tcBorders>
              <w:top w:val="nil"/>
              <w:left w:val="nil"/>
              <w:bottom w:val="single" w:sz="4" w:space="0" w:color="auto"/>
              <w:right w:val="single" w:sz="4" w:space="0" w:color="auto"/>
            </w:tcBorders>
            <w:shd w:val="clear" w:color="auto" w:fill="auto"/>
            <w:hideMark/>
          </w:tcPr>
          <w:p w14:paraId="05BE4660" w14:textId="77777777" w:rsidR="00C666D5" w:rsidRPr="00CE1363" w:rsidRDefault="00C666D5" w:rsidP="002E7CEB">
            <w:pPr>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Good Corporate</w:t>
            </w:r>
          </w:p>
        </w:tc>
        <w:tc>
          <w:tcPr>
            <w:tcW w:w="960" w:type="dxa"/>
            <w:tcBorders>
              <w:top w:val="nil"/>
              <w:left w:val="nil"/>
              <w:bottom w:val="single" w:sz="4" w:space="0" w:color="auto"/>
              <w:right w:val="single" w:sz="4" w:space="0" w:color="auto"/>
            </w:tcBorders>
            <w:shd w:val="clear" w:color="auto" w:fill="auto"/>
            <w:noWrap/>
            <w:hideMark/>
          </w:tcPr>
          <w:p w14:paraId="6F9E7F8E"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0,994</w:t>
            </w:r>
          </w:p>
        </w:tc>
        <w:tc>
          <w:tcPr>
            <w:tcW w:w="960" w:type="dxa"/>
            <w:tcBorders>
              <w:top w:val="nil"/>
              <w:left w:val="nil"/>
              <w:bottom w:val="single" w:sz="4" w:space="0" w:color="auto"/>
              <w:right w:val="single" w:sz="4" w:space="0" w:color="auto"/>
            </w:tcBorders>
            <w:shd w:val="clear" w:color="auto" w:fill="auto"/>
            <w:noWrap/>
            <w:hideMark/>
          </w:tcPr>
          <w:p w14:paraId="2E904AA5" w14:textId="77777777" w:rsidR="00C666D5" w:rsidRPr="00CE1363" w:rsidRDefault="00C666D5" w:rsidP="002E7CEB">
            <w:pPr>
              <w:jc w:val="right"/>
              <w:rPr>
                <w:rFonts w:ascii="Arial" w:eastAsia="Times New Roman" w:hAnsi="Arial" w:cs="Arial"/>
                <w:color w:val="000000"/>
                <w:sz w:val="18"/>
                <w:szCs w:val="18"/>
                <w:lang w:val="en-ID" w:eastAsia="en-ID"/>
              </w:rPr>
            </w:pPr>
            <w:r w:rsidRPr="00CE1363">
              <w:rPr>
                <w:rFonts w:ascii="Arial" w:eastAsia="Times New Roman" w:hAnsi="Arial" w:cs="Arial"/>
                <w:color w:val="000000"/>
                <w:sz w:val="18"/>
                <w:szCs w:val="18"/>
                <w:lang w:val="en-ID" w:eastAsia="en-ID"/>
              </w:rPr>
              <w:t>1,006</w:t>
            </w:r>
          </w:p>
        </w:tc>
      </w:tr>
      <w:tr w:rsidR="00C666D5" w:rsidRPr="00CE1363" w14:paraId="64958E7D" w14:textId="77777777" w:rsidTr="002E7CEB">
        <w:trPr>
          <w:trHeight w:val="300"/>
        </w:trPr>
        <w:tc>
          <w:tcPr>
            <w:tcW w:w="4640" w:type="dxa"/>
            <w:gridSpan w:val="4"/>
            <w:tcBorders>
              <w:top w:val="nil"/>
              <w:left w:val="nil"/>
              <w:bottom w:val="nil"/>
              <w:right w:val="nil"/>
            </w:tcBorders>
            <w:shd w:val="clear" w:color="auto" w:fill="auto"/>
            <w:hideMark/>
          </w:tcPr>
          <w:p w14:paraId="56CBD41F" w14:textId="77777777" w:rsidR="00C666D5" w:rsidRPr="00CE1363" w:rsidRDefault="00C666D5" w:rsidP="002E7CEB">
            <w:pPr>
              <w:rPr>
                <w:rFonts w:ascii="Arial" w:eastAsia="Times New Roman" w:hAnsi="Arial" w:cs="Arial"/>
                <w:color w:val="993300"/>
                <w:sz w:val="18"/>
                <w:szCs w:val="18"/>
                <w:lang w:val="en-ID" w:eastAsia="en-ID"/>
              </w:rPr>
            </w:pPr>
            <w:r w:rsidRPr="00CE1363">
              <w:rPr>
                <w:rFonts w:ascii="Arial" w:eastAsia="Times New Roman" w:hAnsi="Arial" w:cs="Arial"/>
                <w:color w:val="993300"/>
                <w:sz w:val="18"/>
                <w:szCs w:val="18"/>
                <w:lang w:val="en-ID" w:eastAsia="en-ID"/>
              </w:rPr>
              <w:t>a. Dependent Variable: Nilai Perusahaan</w:t>
            </w:r>
          </w:p>
        </w:tc>
      </w:tr>
    </w:tbl>
    <w:p w14:paraId="3AF019EE" w14:textId="77777777" w:rsidR="00DF7FE6" w:rsidRDefault="00DF7FE6" w:rsidP="00BD7B9C">
      <w:pPr>
        <w:jc w:val="both"/>
        <w:rPr>
          <w:bCs/>
          <w:sz w:val="22"/>
          <w:lang w:val="en-US"/>
        </w:rPr>
      </w:pPr>
      <w:r w:rsidRPr="00F778B4">
        <w:rPr>
          <w:sz w:val="22"/>
          <w:lang w:val="en"/>
        </w:rPr>
        <w:t>Source: data processed</w:t>
      </w:r>
    </w:p>
    <w:p w14:paraId="281F88E4" w14:textId="070C30C8" w:rsidR="00DF7FE6" w:rsidRDefault="00DF7FE6" w:rsidP="00BD7B9C">
      <w:pPr>
        <w:jc w:val="both"/>
        <w:rPr>
          <w:bCs/>
          <w:szCs w:val="24"/>
          <w:lang w:val="en-US"/>
        </w:rPr>
      </w:pPr>
      <w:r>
        <w:rPr>
          <w:szCs w:val="24"/>
          <w:lang w:val="en"/>
        </w:rPr>
        <w:tab/>
        <w:t xml:space="preserve">Based on Table 2 above shows that the tolerance value for variable </w:t>
      </w:r>
      <w:r>
        <w:rPr>
          <w:i/>
          <w:szCs w:val="24"/>
          <w:lang w:val="en"/>
        </w:rPr>
        <w:t xml:space="preserve">enterprise risk management disclosure, intellectual capital, </w:t>
      </w:r>
      <w:r>
        <w:rPr>
          <w:lang w:val="en"/>
        </w:rPr>
        <w:t xml:space="preserve"> </w:t>
      </w:r>
      <w:r w:rsidRPr="00F778B4">
        <w:rPr>
          <w:szCs w:val="24"/>
          <w:lang w:val="en"/>
        </w:rPr>
        <w:t xml:space="preserve">and </w:t>
      </w:r>
      <w:r>
        <w:rPr>
          <w:lang w:val="en"/>
        </w:rPr>
        <w:t xml:space="preserve"> </w:t>
      </w:r>
      <w:r>
        <w:rPr>
          <w:i/>
          <w:szCs w:val="24"/>
          <w:lang w:val="en"/>
        </w:rPr>
        <w:t xml:space="preserve">good corporate </w:t>
      </w:r>
      <w:r>
        <w:rPr>
          <w:lang w:val="en"/>
        </w:rPr>
        <w:t xml:space="preserve">in this study </w:t>
      </w:r>
      <w:r>
        <w:rPr>
          <w:szCs w:val="24"/>
          <w:lang w:val="en"/>
        </w:rPr>
        <w:t xml:space="preserve">was </w:t>
      </w:r>
      <w:proofErr w:type="spellStart"/>
      <w:r>
        <w:rPr>
          <w:szCs w:val="24"/>
          <w:lang w:val="en"/>
        </w:rPr>
        <w:t>proxikan</w:t>
      </w:r>
      <w:proofErr w:type="spellEnd"/>
      <w:r>
        <w:rPr>
          <w:szCs w:val="24"/>
          <w:lang w:val="en"/>
        </w:rPr>
        <w:t xml:space="preserve"> with the board of commissioners worth 0.994 ; 0.997 ; and 0.994 greater than 0.10 while the value of VIF is worth 1,006 ; 1,003 ; and 1,006 is smaller than 10, it can be concluded that the data does not experience symptoms of </w:t>
      </w:r>
      <w:proofErr w:type="spellStart"/>
      <w:r>
        <w:rPr>
          <w:szCs w:val="24"/>
          <w:lang w:val="en"/>
        </w:rPr>
        <w:t>multikulinearity</w:t>
      </w:r>
      <w:proofErr w:type="spellEnd"/>
      <w:r>
        <w:rPr>
          <w:szCs w:val="24"/>
          <w:lang w:val="en"/>
        </w:rPr>
        <w:t>.</w:t>
      </w:r>
    </w:p>
    <w:p w14:paraId="5CD36CF7" w14:textId="77777777" w:rsidR="00DF7FE6" w:rsidRDefault="00DF7FE6" w:rsidP="00BD7B9C">
      <w:pPr>
        <w:spacing w:line="480" w:lineRule="auto"/>
        <w:jc w:val="both"/>
        <w:rPr>
          <w:b/>
          <w:szCs w:val="24"/>
          <w:lang w:val="en-US"/>
        </w:rPr>
      </w:pPr>
    </w:p>
    <w:p w14:paraId="00251E61" w14:textId="77777777" w:rsidR="00DF7FE6" w:rsidRDefault="00DF7FE6" w:rsidP="00145706">
      <w:pPr>
        <w:jc w:val="both"/>
        <w:rPr>
          <w:b/>
          <w:szCs w:val="24"/>
          <w:lang w:val="en-US"/>
        </w:rPr>
      </w:pPr>
      <w:proofErr w:type="spellStart"/>
      <w:r>
        <w:rPr>
          <w:b/>
          <w:szCs w:val="24"/>
          <w:lang w:val="en"/>
        </w:rPr>
        <w:lastRenderedPageBreak/>
        <w:t>Heterodeskasity</w:t>
      </w:r>
      <w:proofErr w:type="spellEnd"/>
      <w:r>
        <w:rPr>
          <w:b/>
          <w:szCs w:val="24"/>
          <w:lang w:val="en"/>
        </w:rPr>
        <w:t xml:space="preserve"> Test</w:t>
      </w:r>
    </w:p>
    <w:p w14:paraId="2B0B2C28" w14:textId="77777777" w:rsidR="00DF7FE6" w:rsidRPr="00C666D5" w:rsidRDefault="00DF7FE6" w:rsidP="00145706">
      <w:pPr>
        <w:jc w:val="both"/>
        <w:rPr>
          <w:bCs/>
          <w:szCs w:val="24"/>
          <w:lang w:val="en-US"/>
        </w:rPr>
      </w:pPr>
      <w:r w:rsidRPr="00C666D5">
        <w:rPr>
          <w:szCs w:val="24"/>
          <w:lang w:val="en"/>
        </w:rPr>
        <w:t xml:space="preserve">Table 3 </w:t>
      </w:r>
      <w:proofErr w:type="spellStart"/>
      <w:r w:rsidRPr="00C666D5">
        <w:rPr>
          <w:szCs w:val="24"/>
          <w:lang w:val="en"/>
        </w:rPr>
        <w:t>heterodeskasity</w:t>
      </w:r>
      <w:proofErr w:type="spellEnd"/>
      <w:r w:rsidRPr="00C666D5">
        <w:rPr>
          <w:szCs w:val="24"/>
          <w:lang w:val="en"/>
        </w:rPr>
        <w:t xml:space="preserve"> test results</w:t>
      </w:r>
    </w:p>
    <w:p w14:paraId="6FDFD5D4" w14:textId="224D077E" w:rsidR="00C666D5" w:rsidRPr="00C666D5" w:rsidRDefault="00C666D5" w:rsidP="00C666D5">
      <w:pPr>
        <w:jc w:val="both"/>
        <w:rPr>
          <w:bCs/>
          <w:szCs w:val="24"/>
          <w:lang w:val="en-US"/>
        </w:rPr>
      </w:pPr>
    </w:p>
    <w:tbl>
      <w:tblPr>
        <w:tblW w:w="8660" w:type="dxa"/>
        <w:tblLook w:val="04A0" w:firstRow="1" w:lastRow="0" w:firstColumn="1" w:lastColumn="0" w:noHBand="0" w:noVBand="1"/>
      </w:tblPr>
      <w:tblGrid>
        <w:gridCol w:w="328"/>
        <w:gridCol w:w="2479"/>
        <w:gridCol w:w="1028"/>
        <w:gridCol w:w="1249"/>
        <w:gridCol w:w="1590"/>
        <w:gridCol w:w="993"/>
        <w:gridCol w:w="993"/>
      </w:tblGrid>
      <w:tr w:rsidR="00C666D5" w:rsidRPr="00D236B3" w14:paraId="262C44E7" w14:textId="77777777" w:rsidTr="002E7CEB">
        <w:trPr>
          <w:trHeight w:val="300"/>
        </w:trPr>
        <w:tc>
          <w:tcPr>
            <w:tcW w:w="8660" w:type="dxa"/>
            <w:gridSpan w:val="7"/>
            <w:tcBorders>
              <w:top w:val="nil"/>
              <w:left w:val="nil"/>
              <w:bottom w:val="nil"/>
              <w:right w:val="nil"/>
            </w:tcBorders>
            <w:shd w:val="clear" w:color="auto" w:fill="auto"/>
            <w:vAlign w:val="center"/>
            <w:hideMark/>
          </w:tcPr>
          <w:p w14:paraId="66B0C2C1" w14:textId="77777777" w:rsidR="00C666D5" w:rsidRPr="00D236B3" w:rsidRDefault="00C666D5" w:rsidP="002E7CEB">
            <w:pPr>
              <w:jc w:val="center"/>
              <w:rPr>
                <w:rFonts w:ascii="Arial Bold" w:eastAsia="Times New Roman" w:hAnsi="Arial Bold" w:cs="Calibri"/>
                <w:b/>
                <w:bCs/>
                <w:color w:val="993300"/>
                <w:sz w:val="22"/>
                <w:lang w:val="en-ID" w:eastAsia="en-ID"/>
              </w:rPr>
            </w:pPr>
            <w:proofErr w:type="spellStart"/>
            <w:r w:rsidRPr="00D236B3">
              <w:rPr>
                <w:rFonts w:ascii="Arial Bold" w:eastAsia="Times New Roman" w:hAnsi="Arial Bold" w:cs="Calibri"/>
                <w:b/>
                <w:bCs/>
                <w:color w:val="993300"/>
                <w:sz w:val="22"/>
                <w:lang w:val="en-ID" w:eastAsia="en-ID"/>
              </w:rPr>
              <w:t>Coefficients</w:t>
            </w:r>
            <w:r w:rsidRPr="00D236B3">
              <w:rPr>
                <w:rFonts w:ascii="Arial Bold" w:eastAsia="Times New Roman" w:hAnsi="Arial Bold" w:cs="Calibri"/>
                <w:b/>
                <w:bCs/>
                <w:color w:val="993300"/>
                <w:sz w:val="22"/>
                <w:vertAlign w:val="superscript"/>
                <w:lang w:val="en-ID" w:eastAsia="en-ID"/>
              </w:rPr>
              <w:t>a</w:t>
            </w:r>
            <w:proofErr w:type="spellEnd"/>
          </w:p>
        </w:tc>
      </w:tr>
      <w:tr w:rsidR="00C666D5" w:rsidRPr="00D236B3" w14:paraId="04570DF5" w14:textId="77777777" w:rsidTr="002E7CEB">
        <w:trPr>
          <w:trHeight w:val="510"/>
        </w:trPr>
        <w:tc>
          <w:tcPr>
            <w:tcW w:w="280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5C083F"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Model</w:t>
            </w:r>
          </w:p>
        </w:tc>
        <w:tc>
          <w:tcPr>
            <w:tcW w:w="2277" w:type="dxa"/>
            <w:gridSpan w:val="2"/>
            <w:tcBorders>
              <w:top w:val="single" w:sz="4" w:space="0" w:color="auto"/>
              <w:left w:val="nil"/>
              <w:bottom w:val="single" w:sz="4" w:space="0" w:color="auto"/>
              <w:right w:val="single" w:sz="4" w:space="0" w:color="auto"/>
            </w:tcBorders>
            <w:shd w:val="clear" w:color="auto" w:fill="auto"/>
            <w:vAlign w:val="center"/>
            <w:hideMark/>
          </w:tcPr>
          <w:p w14:paraId="64B50072"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Unstandardized Coefficients</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14:paraId="0EDF1206"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Standardized Coefficients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C32648"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A0512D"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Sig.</w:t>
            </w:r>
          </w:p>
        </w:tc>
      </w:tr>
      <w:tr w:rsidR="00C666D5" w:rsidRPr="00D236B3" w14:paraId="25DA5238" w14:textId="77777777" w:rsidTr="002E7CEB">
        <w:trPr>
          <w:trHeight w:val="300"/>
        </w:trPr>
        <w:tc>
          <w:tcPr>
            <w:tcW w:w="2807" w:type="dxa"/>
            <w:gridSpan w:val="2"/>
            <w:vMerge/>
            <w:tcBorders>
              <w:top w:val="single" w:sz="4" w:space="0" w:color="auto"/>
              <w:left w:val="single" w:sz="4" w:space="0" w:color="auto"/>
              <w:bottom w:val="single" w:sz="4" w:space="0" w:color="auto"/>
              <w:right w:val="single" w:sz="4" w:space="0" w:color="auto"/>
            </w:tcBorders>
            <w:vAlign w:val="center"/>
            <w:hideMark/>
          </w:tcPr>
          <w:p w14:paraId="1ABF24FB" w14:textId="77777777" w:rsidR="00C666D5" w:rsidRPr="00D236B3" w:rsidRDefault="00C666D5" w:rsidP="002E7CEB">
            <w:pPr>
              <w:rPr>
                <w:rFonts w:ascii="Arial" w:eastAsia="Times New Roman" w:hAnsi="Arial" w:cs="Arial"/>
                <w:b/>
                <w:bCs/>
                <w:color w:val="000000"/>
                <w:sz w:val="20"/>
                <w:szCs w:val="20"/>
                <w:lang w:val="en-ID" w:eastAsia="en-ID"/>
              </w:rPr>
            </w:pPr>
          </w:p>
        </w:tc>
        <w:tc>
          <w:tcPr>
            <w:tcW w:w="1028" w:type="dxa"/>
            <w:tcBorders>
              <w:top w:val="nil"/>
              <w:left w:val="nil"/>
              <w:bottom w:val="single" w:sz="4" w:space="0" w:color="auto"/>
              <w:right w:val="single" w:sz="4" w:space="0" w:color="auto"/>
            </w:tcBorders>
            <w:shd w:val="clear" w:color="auto" w:fill="auto"/>
            <w:vAlign w:val="center"/>
            <w:hideMark/>
          </w:tcPr>
          <w:p w14:paraId="31FA74C5"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B</w:t>
            </w:r>
          </w:p>
        </w:tc>
        <w:tc>
          <w:tcPr>
            <w:tcW w:w="1249" w:type="dxa"/>
            <w:tcBorders>
              <w:top w:val="nil"/>
              <w:left w:val="nil"/>
              <w:bottom w:val="single" w:sz="4" w:space="0" w:color="auto"/>
              <w:right w:val="single" w:sz="4" w:space="0" w:color="auto"/>
            </w:tcBorders>
            <w:shd w:val="clear" w:color="auto" w:fill="auto"/>
            <w:vAlign w:val="center"/>
            <w:hideMark/>
          </w:tcPr>
          <w:p w14:paraId="705E7D42"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Std. Error</w:t>
            </w:r>
          </w:p>
        </w:tc>
        <w:tc>
          <w:tcPr>
            <w:tcW w:w="1590" w:type="dxa"/>
            <w:tcBorders>
              <w:top w:val="nil"/>
              <w:left w:val="nil"/>
              <w:bottom w:val="single" w:sz="4" w:space="0" w:color="auto"/>
              <w:right w:val="single" w:sz="4" w:space="0" w:color="auto"/>
            </w:tcBorders>
            <w:shd w:val="clear" w:color="auto" w:fill="auto"/>
            <w:vAlign w:val="center"/>
            <w:hideMark/>
          </w:tcPr>
          <w:p w14:paraId="73F8490E" w14:textId="77777777" w:rsidR="00C666D5" w:rsidRPr="00D236B3" w:rsidRDefault="00C666D5" w:rsidP="002E7CEB">
            <w:pPr>
              <w:jc w:val="center"/>
              <w:rPr>
                <w:rFonts w:ascii="Arial" w:eastAsia="Times New Roman" w:hAnsi="Arial" w:cs="Arial"/>
                <w:b/>
                <w:bCs/>
                <w:color w:val="000000"/>
                <w:sz w:val="20"/>
                <w:szCs w:val="20"/>
                <w:lang w:val="en-ID" w:eastAsia="en-ID"/>
              </w:rPr>
            </w:pPr>
            <w:r w:rsidRPr="00D236B3">
              <w:rPr>
                <w:rFonts w:ascii="Arial" w:eastAsia="Times New Roman" w:hAnsi="Arial" w:cs="Arial"/>
                <w:b/>
                <w:bCs/>
                <w:color w:val="000000"/>
                <w:sz w:val="20"/>
                <w:szCs w:val="20"/>
                <w:lang w:val="en-ID" w:eastAsia="en-ID"/>
              </w:rPr>
              <w:t>Beta</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7179680" w14:textId="77777777" w:rsidR="00C666D5" w:rsidRPr="00D236B3" w:rsidRDefault="00C666D5" w:rsidP="002E7CEB">
            <w:pPr>
              <w:rPr>
                <w:rFonts w:ascii="Arial" w:eastAsia="Times New Roman" w:hAnsi="Arial" w:cs="Arial"/>
                <w:b/>
                <w:bCs/>
                <w:color w:val="000000"/>
                <w:sz w:val="20"/>
                <w:szCs w:val="20"/>
                <w:lang w:val="en-ID" w:eastAsia="en-ID"/>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EF55C13" w14:textId="77777777" w:rsidR="00C666D5" w:rsidRPr="00D236B3" w:rsidRDefault="00C666D5" w:rsidP="002E7CEB">
            <w:pPr>
              <w:rPr>
                <w:rFonts w:ascii="Arial" w:eastAsia="Times New Roman" w:hAnsi="Arial" w:cs="Arial"/>
                <w:b/>
                <w:bCs/>
                <w:color w:val="000000"/>
                <w:sz w:val="20"/>
                <w:szCs w:val="20"/>
                <w:lang w:val="en-ID" w:eastAsia="en-ID"/>
              </w:rPr>
            </w:pPr>
          </w:p>
        </w:tc>
      </w:tr>
      <w:tr w:rsidR="00C666D5" w:rsidRPr="00D236B3" w14:paraId="6FA272DE" w14:textId="77777777" w:rsidTr="00C666D5">
        <w:trPr>
          <w:trHeight w:val="300"/>
        </w:trPr>
        <w:tc>
          <w:tcPr>
            <w:tcW w:w="328" w:type="dxa"/>
            <w:vMerge w:val="restart"/>
            <w:tcBorders>
              <w:top w:val="nil"/>
              <w:left w:val="single" w:sz="4" w:space="0" w:color="auto"/>
              <w:bottom w:val="single" w:sz="4" w:space="0" w:color="auto"/>
              <w:right w:val="single" w:sz="4" w:space="0" w:color="auto"/>
            </w:tcBorders>
            <w:shd w:val="clear" w:color="auto" w:fill="auto"/>
            <w:noWrap/>
            <w:hideMark/>
          </w:tcPr>
          <w:p w14:paraId="4390F800"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1</w:t>
            </w:r>
          </w:p>
        </w:tc>
        <w:tc>
          <w:tcPr>
            <w:tcW w:w="2479" w:type="dxa"/>
            <w:tcBorders>
              <w:top w:val="nil"/>
              <w:left w:val="nil"/>
              <w:bottom w:val="single" w:sz="4" w:space="0" w:color="auto"/>
              <w:right w:val="single" w:sz="4" w:space="0" w:color="auto"/>
            </w:tcBorders>
            <w:shd w:val="clear" w:color="auto" w:fill="auto"/>
            <w:hideMark/>
          </w:tcPr>
          <w:p w14:paraId="2B86E0AF"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(Constant)</w:t>
            </w:r>
          </w:p>
        </w:tc>
        <w:tc>
          <w:tcPr>
            <w:tcW w:w="1028" w:type="dxa"/>
            <w:tcBorders>
              <w:top w:val="nil"/>
              <w:left w:val="nil"/>
              <w:bottom w:val="single" w:sz="4" w:space="0" w:color="auto"/>
              <w:right w:val="single" w:sz="4" w:space="0" w:color="auto"/>
            </w:tcBorders>
            <w:shd w:val="clear" w:color="auto" w:fill="auto"/>
            <w:noWrap/>
            <w:hideMark/>
          </w:tcPr>
          <w:p w14:paraId="70665464"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0,375</w:t>
            </w:r>
          </w:p>
        </w:tc>
        <w:tc>
          <w:tcPr>
            <w:tcW w:w="1249" w:type="dxa"/>
            <w:tcBorders>
              <w:top w:val="nil"/>
              <w:left w:val="nil"/>
              <w:bottom w:val="single" w:sz="4" w:space="0" w:color="auto"/>
              <w:right w:val="single" w:sz="4" w:space="0" w:color="auto"/>
            </w:tcBorders>
            <w:shd w:val="clear" w:color="auto" w:fill="auto"/>
            <w:noWrap/>
            <w:hideMark/>
          </w:tcPr>
          <w:p w14:paraId="20C070B9"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0,824</w:t>
            </w:r>
          </w:p>
        </w:tc>
        <w:tc>
          <w:tcPr>
            <w:tcW w:w="1590" w:type="dxa"/>
            <w:tcBorders>
              <w:top w:val="nil"/>
              <w:left w:val="nil"/>
              <w:bottom w:val="single" w:sz="4" w:space="0" w:color="auto"/>
              <w:right w:val="single" w:sz="4" w:space="0" w:color="auto"/>
            </w:tcBorders>
            <w:shd w:val="clear" w:color="auto" w:fill="auto"/>
            <w:hideMark/>
          </w:tcPr>
          <w:p w14:paraId="11B12E5E"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 </w:t>
            </w:r>
          </w:p>
        </w:tc>
        <w:tc>
          <w:tcPr>
            <w:tcW w:w="993" w:type="dxa"/>
            <w:tcBorders>
              <w:top w:val="nil"/>
              <w:left w:val="nil"/>
              <w:bottom w:val="single" w:sz="4" w:space="0" w:color="auto"/>
              <w:right w:val="single" w:sz="4" w:space="0" w:color="auto"/>
            </w:tcBorders>
            <w:shd w:val="clear" w:color="auto" w:fill="auto"/>
            <w:noWrap/>
            <w:hideMark/>
          </w:tcPr>
          <w:p w14:paraId="554C98B9"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0,455</w:t>
            </w:r>
          </w:p>
        </w:tc>
        <w:tc>
          <w:tcPr>
            <w:tcW w:w="993" w:type="dxa"/>
            <w:tcBorders>
              <w:top w:val="nil"/>
              <w:left w:val="nil"/>
              <w:bottom w:val="single" w:sz="4" w:space="0" w:color="auto"/>
              <w:right w:val="single" w:sz="4" w:space="0" w:color="auto"/>
            </w:tcBorders>
            <w:shd w:val="clear" w:color="auto" w:fill="auto"/>
            <w:noWrap/>
            <w:hideMark/>
          </w:tcPr>
          <w:p w14:paraId="768BE378"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0,649</w:t>
            </w:r>
          </w:p>
        </w:tc>
      </w:tr>
      <w:tr w:rsidR="00C666D5" w:rsidRPr="00D236B3" w14:paraId="4E3D3F31" w14:textId="77777777" w:rsidTr="00C666D5">
        <w:trPr>
          <w:trHeight w:val="300"/>
        </w:trPr>
        <w:tc>
          <w:tcPr>
            <w:tcW w:w="328" w:type="dxa"/>
            <w:vMerge/>
            <w:tcBorders>
              <w:top w:val="nil"/>
              <w:left w:val="single" w:sz="4" w:space="0" w:color="auto"/>
              <w:bottom w:val="single" w:sz="4" w:space="0" w:color="auto"/>
              <w:right w:val="single" w:sz="4" w:space="0" w:color="auto"/>
            </w:tcBorders>
            <w:vAlign w:val="center"/>
            <w:hideMark/>
          </w:tcPr>
          <w:p w14:paraId="461DADA7" w14:textId="77777777" w:rsidR="00C666D5" w:rsidRPr="00D236B3" w:rsidRDefault="00C666D5" w:rsidP="002E7CEB">
            <w:pPr>
              <w:rPr>
                <w:rFonts w:ascii="Arial" w:eastAsia="Times New Roman" w:hAnsi="Arial" w:cs="Arial"/>
                <w:color w:val="000000"/>
                <w:sz w:val="20"/>
                <w:szCs w:val="20"/>
                <w:lang w:val="en-ID" w:eastAsia="en-ID"/>
              </w:rPr>
            </w:pPr>
          </w:p>
        </w:tc>
        <w:tc>
          <w:tcPr>
            <w:tcW w:w="2479" w:type="dxa"/>
            <w:tcBorders>
              <w:top w:val="nil"/>
              <w:left w:val="nil"/>
              <w:bottom w:val="single" w:sz="4" w:space="0" w:color="auto"/>
              <w:right w:val="single" w:sz="4" w:space="0" w:color="auto"/>
            </w:tcBorders>
            <w:shd w:val="clear" w:color="auto" w:fill="auto"/>
            <w:hideMark/>
          </w:tcPr>
          <w:p w14:paraId="7B9BB502"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ERM Disclosure</w:t>
            </w:r>
          </w:p>
        </w:tc>
        <w:tc>
          <w:tcPr>
            <w:tcW w:w="1028" w:type="dxa"/>
            <w:tcBorders>
              <w:top w:val="nil"/>
              <w:left w:val="nil"/>
              <w:bottom w:val="single" w:sz="4" w:space="0" w:color="auto"/>
              <w:right w:val="single" w:sz="4" w:space="0" w:color="auto"/>
            </w:tcBorders>
            <w:shd w:val="clear" w:color="auto" w:fill="auto"/>
            <w:noWrap/>
            <w:hideMark/>
          </w:tcPr>
          <w:p w14:paraId="1F7C09A9"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0,857</w:t>
            </w:r>
          </w:p>
        </w:tc>
        <w:tc>
          <w:tcPr>
            <w:tcW w:w="1249" w:type="dxa"/>
            <w:tcBorders>
              <w:top w:val="nil"/>
              <w:left w:val="nil"/>
              <w:bottom w:val="single" w:sz="4" w:space="0" w:color="auto"/>
              <w:right w:val="single" w:sz="4" w:space="0" w:color="auto"/>
            </w:tcBorders>
            <w:shd w:val="clear" w:color="auto" w:fill="auto"/>
            <w:noWrap/>
            <w:hideMark/>
          </w:tcPr>
          <w:p w14:paraId="748B5CA7"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0,593</w:t>
            </w:r>
          </w:p>
        </w:tc>
        <w:tc>
          <w:tcPr>
            <w:tcW w:w="1590" w:type="dxa"/>
            <w:tcBorders>
              <w:top w:val="nil"/>
              <w:left w:val="nil"/>
              <w:bottom w:val="single" w:sz="4" w:space="0" w:color="auto"/>
              <w:right w:val="single" w:sz="4" w:space="0" w:color="auto"/>
            </w:tcBorders>
            <w:shd w:val="clear" w:color="auto" w:fill="auto"/>
            <w:noWrap/>
            <w:hideMark/>
          </w:tcPr>
          <w:p w14:paraId="216E5EB7"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0,093</w:t>
            </w:r>
          </w:p>
        </w:tc>
        <w:tc>
          <w:tcPr>
            <w:tcW w:w="993" w:type="dxa"/>
            <w:tcBorders>
              <w:top w:val="nil"/>
              <w:left w:val="nil"/>
              <w:bottom w:val="single" w:sz="4" w:space="0" w:color="auto"/>
              <w:right w:val="single" w:sz="4" w:space="0" w:color="auto"/>
            </w:tcBorders>
            <w:shd w:val="clear" w:color="auto" w:fill="auto"/>
            <w:noWrap/>
            <w:hideMark/>
          </w:tcPr>
          <w:p w14:paraId="223469A0"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1,445</w:t>
            </w:r>
          </w:p>
        </w:tc>
        <w:tc>
          <w:tcPr>
            <w:tcW w:w="993" w:type="dxa"/>
            <w:tcBorders>
              <w:top w:val="nil"/>
              <w:left w:val="nil"/>
              <w:bottom w:val="single" w:sz="4" w:space="0" w:color="auto"/>
              <w:right w:val="single" w:sz="4" w:space="0" w:color="auto"/>
            </w:tcBorders>
            <w:shd w:val="clear" w:color="auto" w:fill="auto"/>
            <w:noWrap/>
            <w:hideMark/>
          </w:tcPr>
          <w:p w14:paraId="4FC4DC1E"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0,150</w:t>
            </w:r>
          </w:p>
        </w:tc>
      </w:tr>
      <w:tr w:rsidR="00C666D5" w:rsidRPr="00D236B3" w14:paraId="126D0A40" w14:textId="77777777" w:rsidTr="00C666D5">
        <w:trPr>
          <w:trHeight w:val="300"/>
        </w:trPr>
        <w:tc>
          <w:tcPr>
            <w:tcW w:w="328" w:type="dxa"/>
            <w:vMerge/>
            <w:tcBorders>
              <w:top w:val="nil"/>
              <w:left w:val="single" w:sz="4" w:space="0" w:color="auto"/>
              <w:bottom w:val="single" w:sz="4" w:space="0" w:color="auto"/>
              <w:right w:val="single" w:sz="4" w:space="0" w:color="auto"/>
            </w:tcBorders>
            <w:vAlign w:val="center"/>
            <w:hideMark/>
          </w:tcPr>
          <w:p w14:paraId="1EAE21E8" w14:textId="77777777" w:rsidR="00C666D5" w:rsidRPr="00D236B3" w:rsidRDefault="00C666D5" w:rsidP="002E7CEB">
            <w:pPr>
              <w:rPr>
                <w:rFonts w:ascii="Arial" w:eastAsia="Times New Roman" w:hAnsi="Arial" w:cs="Arial"/>
                <w:color w:val="000000"/>
                <w:sz w:val="20"/>
                <w:szCs w:val="20"/>
                <w:lang w:val="en-ID" w:eastAsia="en-ID"/>
              </w:rPr>
            </w:pPr>
          </w:p>
        </w:tc>
        <w:tc>
          <w:tcPr>
            <w:tcW w:w="2479" w:type="dxa"/>
            <w:tcBorders>
              <w:top w:val="nil"/>
              <w:left w:val="nil"/>
              <w:bottom w:val="single" w:sz="4" w:space="0" w:color="auto"/>
              <w:right w:val="single" w:sz="4" w:space="0" w:color="auto"/>
            </w:tcBorders>
            <w:shd w:val="clear" w:color="auto" w:fill="auto"/>
            <w:hideMark/>
          </w:tcPr>
          <w:p w14:paraId="1957725D"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Intellectual Capital</w:t>
            </w:r>
          </w:p>
        </w:tc>
        <w:tc>
          <w:tcPr>
            <w:tcW w:w="1028" w:type="dxa"/>
            <w:tcBorders>
              <w:top w:val="nil"/>
              <w:left w:val="nil"/>
              <w:bottom w:val="single" w:sz="4" w:space="0" w:color="auto"/>
              <w:right w:val="single" w:sz="4" w:space="0" w:color="auto"/>
            </w:tcBorders>
            <w:shd w:val="clear" w:color="auto" w:fill="auto"/>
            <w:noWrap/>
            <w:hideMark/>
          </w:tcPr>
          <w:p w14:paraId="4ACB0C49"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0,002</w:t>
            </w:r>
          </w:p>
        </w:tc>
        <w:tc>
          <w:tcPr>
            <w:tcW w:w="1249" w:type="dxa"/>
            <w:tcBorders>
              <w:top w:val="nil"/>
              <w:left w:val="nil"/>
              <w:bottom w:val="single" w:sz="4" w:space="0" w:color="auto"/>
              <w:right w:val="single" w:sz="4" w:space="0" w:color="auto"/>
            </w:tcBorders>
            <w:shd w:val="clear" w:color="auto" w:fill="auto"/>
            <w:noWrap/>
            <w:hideMark/>
          </w:tcPr>
          <w:p w14:paraId="6AA336B1"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0,005</w:t>
            </w:r>
          </w:p>
        </w:tc>
        <w:tc>
          <w:tcPr>
            <w:tcW w:w="1590" w:type="dxa"/>
            <w:tcBorders>
              <w:top w:val="nil"/>
              <w:left w:val="nil"/>
              <w:bottom w:val="single" w:sz="4" w:space="0" w:color="auto"/>
              <w:right w:val="single" w:sz="4" w:space="0" w:color="auto"/>
            </w:tcBorders>
            <w:shd w:val="clear" w:color="auto" w:fill="auto"/>
            <w:noWrap/>
            <w:hideMark/>
          </w:tcPr>
          <w:p w14:paraId="12760CE7"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0,021</w:t>
            </w:r>
          </w:p>
        </w:tc>
        <w:tc>
          <w:tcPr>
            <w:tcW w:w="993" w:type="dxa"/>
            <w:tcBorders>
              <w:top w:val="nil"/>
              <w:left w:val="nil"/>
              <w:bottom w:val="single" w:sz="4" w:space="0" w:color="auto"/>
              <w:right w:val="single" w:sz="4" w:space="0" w:color="auto"/>
            </w:tcBorders>
            <w:shd w:val="clear" w:color="auto" w:fill="auto"/>
            <w:noWrap/>
            <w:hideMark/>
          </w:tcPr>
          <w:p w14:paraId="55D9C346"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0,330</w:t>
            </w:r>
          </w:p>
        </w:tc>
        <w:tc>
          <w:tcPr>
            <w:tcW w:w="993" w:type="dxa"/>
            <w:tcBorders>
              <w:top w:val="nil"/>
              <w:left w:val="nil"/>
              <w:bottom w:val="single" w:sz="4" w:space="0" w:color="auto"/>
              <w:right w:val="single" w:sz="4" w:space="0" w:color="auto"/>
            </w:tcBorders>
            <w:shd w:val="clear" w:color="auto" w:fill="auto"/>
            <w:noWrap/>
            <w:hideMark/>
          </w:tcPr>
          <w:p w14:paraId="1E25279A"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0,741</w:t>
            </w:r>
          </w:p>
        </w:tc>
      </w:tr>
      <w:tr w:rsidR="00C666D5" w:rsidRPr="00D236B3" w14:paraId="587210F6" w14:textId="77777777" w:rsidTr="00C666D5">
        <w:trPr>
          <w:trHeight w:val="300"/>
        </w:trPr>
        <w:tc>
          <w:tcPr>
            <w:tcW w:w="328" w:type="dxa"/>
            <w:vMerge/>
            <w:tcBorders>
              <w:top w:val="nil"/>
              <w:left w:val="single" w:sz="4" w:space="0" w:color="auto"/>
              <w:bottom w:val="single" w:sz="4" w:space="0" w:color="auto"/>
              <w:right w:val="single" w:sz="4" w:space="0" w:color="auto"/>
            </w:tcBorders>
            <w:vAlign w:val="center"/>
            <w:hideMark/>
          </w:tcPr>
          <w:p w14:paraId="7C2F01C7" w14:textId="77777777" w:rsidR="00C666D5" w:rsidRPr="00D236B3" w:rsidRDefault="00C666D5" w:rsidP="002E7CEB">
            <w:pPr>
              <w:rPr>
                <w:rFonts w:ascii="Arial" w:eastAsia="Times New Roman" w:hAnsi="Arial" w:cs="Arial"/>
                <w:color w:val="000000"/>
                <w:sz w:val="20"/>
                <w:szCs w:val="20"/>
                <w:lang w:val="en-ID" w:eastAsia="en-ID"/>
              </w:rPr>
            </w:pPr>
          </w:p>
        </w:tc>
        <w:tc>
          <w:tcPr>
            <w:tcW w:w="2479" w:type="dxa"/>
            <w:tcBorders>
              <w:top w:val="nil"/>
              <w:left w:val="nil"/>
              <w:bottom w:val="single" w:sz="4" w:space="0" w:color="auto"/>
              <w:right w:val="single" w:sz="4" w:space="0" w:color="auto"/>
            </w:tcBorders>
            <w:shd w:val="clear" w:color="auto" w:fill="auto"/>
            <w:hideMark/>
          </w:tcPr>
          <w:p w14:paraId="326428E7" w14:textId="77777777" w:rsidR="00C666D5" w:rsidRPr="00D236B3" w:rsidRDefault="00C666D5" w:rsidP="002E7CEB">
            <w:pPr>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Good Corporate</w:t>
            </w:r>
          </w:p>
        </w:tc>
        <w:tc>
          <w:tcPr>
            <w:tcW w:w="1028" w:type="dxa"/>
            <w:tcBorders>
              <w:top w:val="nil"/>
              <w:left w:val="nil"/>
              <w:bottom w:val="single" w:sz="4" w:space="0" w:color="auto"/>
              <w:right w:val="single" w:sz="4" w:space="0" w:color="auto"/>
            </w:tcBorders>
            <w:shd w:val="clear" w:color="auto" w:fill="auto"/>
            <w:noWrap/>
            <w:hideMark/>
          </w:tcPr>
          <w:p w14:paraId="4781F844"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0,059</w:t>
            </w:r>
          </w:p>
        </w:tc>
        <w:tc>
          <w:tcPr>
            <w:tcW w:w="1249" w:type="dxa"/>
            <w:tcBorders>
              <w:top w:val="nil"/>
              <w:left w:val="nil"/>
              <w:bottom w:val="single" w:sz="4" w:space="0" w:color="auto"/>
              <w:right w:val="single" w:sz="4" w:space="0" w:color="auto"/>
            </w:tcBorders>
            <w:shd w:val="clear" w:color="auto" w:fill="auto"/>
            <w:noWrap/>
            <w:hideMark/>
          </w:tcPr>
          <w:p w14:paraId="601E1414"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0,199</w:t>
            </w:r>
          </w:p>
        </w:tc>
        <w:tc>
          <w:tcPr>
            <w:tcW w:w="1590" w:type="dxa"/>
            <w:tcBorders>
              <w:top w:val="nil"/>
              <w:left w:val="nil"/>
              <w:bottom w:val="single" w:sz="4" w:space="0" w:color="auto"/>
              <w:right w:val="single" w:sz="4" w:space="0" w:color="auto"/>
            </w:tcBorders>
            <w:shd w:val="clear" w:color="auto" w:fill="auto"/>
            <w:noWrap/>
            <w:hideMark/>
          </w:tcPr>
          <w:p w14:paraId="7CF53920"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0,019</w:t>
            </w:r>
          </w:p>
        </w:tc>
        <w:tc>
          <w:tcPr>
            <w:tcW w:w="993" w:type="dxa"/>
            <w:tcBorders>
              <w:top w:val="nil"/>
              <w:left w:val="nil"/>
              <w:bottom w:val="single" w:sz="4" w:space="0" w:color="auto"/>
              <w:right w:val="single" w:sz="4" w:space="0" w:color="auto"/>
            </w:tcBorders>
            <w:shd w:val="clear" w:color="auto" w:fill="auto"/>
            <w:noWrap/>
            <w:hideMark/>
          </w:tcPr>
          <w:p w14:paraId="669D761C"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0,297</w:t>
            </w:r>
          </w:p>
        </w:tc>
        <w:tc>
          <w:tcPr>
            <w:tcW w:w="993" w:type="dxa"/>
            <w:tcBorders>
              <w:top w:val="nil"/>
              <w:left w:val="nil"/>
              <w:bottom w:val="single" w:sz="4" w:space="0" w:color="auto"/>
              <w:right w:val="single" w:sz="4" w:space="0" w:color="auto"/>
            </w:tcBorders>
            <w:shd w:val="clear" w:color="auto" w:fill="auto"/>
            <w:noWrap/>
            <w:hideMark/>
          </w:tcPr>
          <w:p w14:paraId="41C9092E" w14:textId="77777777" w:rsidR="00C666D5" w:rsidRPr="00D236B3" w:rsidRDefault="00C666D5" w:rsidP="002E7CEB">
            <w:pPr>
              <w:jc w:val="right"/>
              <w:rPr>
                <w:rFonts w:ascii="Arial" w:eastAsia="Times New Roman" w:hAnsi="Arial" w:cs="Arial"/>
                <w:color w:val="000000"/>
                <w:sz w:val="20"/>
                <w:szCs w:val="20"/>
                <w:lang w:val="en-ID" w:eastAsia="en-ID"/>
              </w:rPr>
            </w:pPr>
            <w:r w:rsidRPr="00D236B3">
              <w:rPr>
                <w:rFonts w:ascii="Arial" w:eastAsia="Times New Roman" w:hAnsi="Arial" w:cs="Arial"/>
                <w:color w:val="000000"/>
                <w:sz w:val="20"/>
                <w:szCs w:val="20"/>
                <w:lang w:val="en-ID" w:eastAsia="en-ID"/>
              </w:rPr>
              <w:t>0,766</w:t>
            </w:r>
          </w:p>
        </w:tc>
      </w:tr>
      <w:tr w:rsidR="00C666D5" w:rsidRPr="00D236B3" w14:paraId="76677A02" w14:textId="77777777" w:rsidTr="002E7CEB">
        <w:trPr>
          <w:trHeight w:val="300"/>
        </w:trPr>
        <w:tc>
          <w:tcPr>
            <w:tcW w:w="8660" w:type="dxa"/>
            <w:gridSpan w:val="7"/>
            <w:tcBorders>
              <w:top w:val="nil"/>
              <w:left w:val="nil"/>
              <w:bottom w:val="nil"/>
              <w:right w:val="nil"/>
            </w:tcBorders>
            <w:shd w:val="clear" w:color="auto" w:fill="auto"/>
            <w:hideMark/>
          </w:tcPr>
          <w:p w14:paraId="2B0192BF" w14:textId="77777777" w:rsidR="00C666D5" w:rsidRPr="00D236B3" w:rsidRDefault="00C666D5" w:rsidP="002E7CEB">
            <w:pPr>
              <w:rPr>
                <w:rFonts w:ascii="Arial" w:eastAsia="Times New Roman" w:hAnsi="Arial" w:cs="Arial"/>
                <w:color w:val="993300"/>
                <w:sz w:val="18"/>
                <w:szCs w:val="18"/>
                <w:lang w:val="en-ID" w:eastAsia="en-ID"/>
              </w:rPr>
            </w:pPr>
            <w:r w:rsidRPr="00D236B3">
              <w:rPr>
                <w:rFonts w:ascii="Arial" w:eastAsia="Times New Roman" w:hAnsi="Arial" w:cs="Arial"/>
                <w:color w:val="993300"/>
                <w:sz w:val="18"/>
                <w:szCs w:val="18"/>
                <w:lang w:val="en-ID" w:eastAsia="en-ID"/>
              </w:rPr>
              <w:t xml:space="preserve">a. Dependent Variable: </w:t>
            </w:r>
            <w:proofErr w:type="spellStart"/>
            <w:r w:rsidRPr="00D236B3">
              <w:rPr>
                <w:rFonts w:ascii="Arial" w:eastAsia="Times New Roman" w:hAnsi="Arial" w:cs="Arial"/>
                <w:color w:val="993300"/>
                <w:sz w:val="18"/>
                <w:szCs w:val="18"/>
                <w:lang w:val="en-ID" w:eastAsia="en-ID"/>
              </w:rPr>
              <w:t>Abs_RES</w:t>
            </w:r>
            <w:proofErr w:type="spellEnd"/>
          </w:p>
        </w:tc>
      </w:tr>
    </w:tbl>
    <w:p w14:paraId="384DDA9B" w14:textId="77777777" w:rsidR="00DF7FE6" w:rsidRPr="009F6706" w:rsidRDefault="00DF7FE6" w:rsidP="00DF7FE6">
      <w:pPr>
        <w:pStyle w:val="Default"/>
        <w:ind w:left="720"/>
        <w:jc w:val="both"/>
        <w:rPr>
          <w:color w:val="auto"/>
        </w:rPr>
      </w:pPr>
      <w:r>
        <w:rPr>
          <w:color w:val="auto"/>
          <w:lang w:val="en"/>
        </w:rPr>
        <w:t>Source: data processed</w:t>
      </w:r>
    </w:p>
    <w:p w14:paraId="01459D50" w14:textId="1DC84793" w:rsidR="00C666D5" w:rsidRDefault="00DF7FE6" w:rsidP="00C666D5">
      <w:pPr>
        <w:ind w:firstLine="567"/>
        <w:jc w:val="both"/>
        <w:rPr>
          <w:bCs/>
          <w:szCs w:val="24"/>
          <w:lang w:val="en-US"/>
        </w:rPr>
      </w:pPr>
      <w:r>
        <w:rPr>
          <w:szCs w:val="24"/>
          <w:lang w:val="en"/>
        </w:rPr>
        <w:t xml:space="preserve">Based on table 3 above shows that the value of the significance of </w:t>
      </w:r>
      <w:r>
        <w:rPr>
          <w:i/>
          <w:szCs w:val="24"/>
          <w:lang w:val="en"/>
        </w:rPr>
        <w:t xml:space="preserve">enterprise risk management, intellectual capital, </w:t>
      </w:r>
      <w:r>
        <w:rPr>
          <w:lang w:val="en"/>
        </w:rPr>
        <w:t xml:space="preserve"> </w:t>
      </w:r>
      <w:r>
        <w:rPr>
          <w:szCs w:val="24"/>
          <w:lang w:val="en"/>
        </w:rPr>
        <w:t xml:space="preserve">and </w:t>
      </w:r>
      <w:r>
        <w:rPr>
          <w:lang w:val="en"/>
        </w:rPr>
        <w:t xml:space="preserve"> </w:t>
      </w:r>
      <w:r>
        <w:rPr>
          <w:i/>
          <w:szCs w:val="24"/>
          <w:lang w:val="en"/>
        </w:rPr>
        <w:t xml:space="preserve">good corporate </w:t>
      </w:r>
      <w:r>
        <w:rPr>
          <w:lang w:val="en"/>
        </w:rPr>
        <w:t xml:space="preserve">in this study was </w:t>
      </w:r>
      <w:proofErr w:type="spellStart"/>
      <w:r>
        <w:rPr>
          <w:szCs w:val="24"/>
          <w:lang w:val="en"/>
        </w:rPr>
        <w:t>proxikan</w:t>
      </w:r>
      <w:proofErr w:type="spellEnd"/>
      <w:r>
        <w:rPr>
          <w:szCs w:val="24"/>
          <w:lang w:val="en"/>
        </w:rPr>
        <w:t xml:space="preserve"> with an independent board of commissioners worth 0.150 ; 0.741 ; and 0.766 greater than 0.05 so it can be concluded that the data in this study did not experience symptoms of </w:t>
      </w:r>
      <w:proofErr w:type="spellStart"/>
      <w:r>
        <w:rPr>
          <w:szCs w:val="24"/>
          <w:lang w:val="en"/>
        </w:rPr>
        <w:t>heterodeskasity</w:t>
      </w:r>
      <w:proofErr w:type="spellEnd"/>
      <w:r>
        <w:rPr>
          <w:szCs w:val="24"/>
          <w:lang w:val="en"/>
        </w:rPr>
        <w:t>.</w:t>
      </w:r>
    </w:p>
    <w:p w14:paraId="7C64C053" w14:textId="40331DEC" w:rsidR="00C666D5" w:rsidRDefault="00C666D5" w:rsidP="00C666D5">
      <w:pPr>
        <w:jc w:val="both"/>
        <w:rPr>
          <w:bCs/>
          <w:szCs w:val="24"/>
          <w:lang w:val="en-US"/>
        </w:rPr>
      </w:pPr>
    </w:p>
    <w:p w14:paraId="515182FA" w14:textId="77777777" w:rsidR="00DF7FE6" w:rsidRPr="009C61D8" w:rsidRDefault="00DF7FE6" w:rsidP="00472573">
      <w:pPr>
        <w:jc w:val="both"/>
        <w:rPr>
          <w:b/>
          <w:szCs w:val="24"/>
          <w:lang w:val="en-US"/>
        </w:rPr>
      </w:pPr>
      <w:r w:rsidRPr="009C61D8">
        <w:rPr>
          <w:b/>
          <w:szCs w:val="24"/>
          <w:lang w:val="en"/>
        </w:rPr>
        <w:t>Autocorrelation Test</w:t>
      </w:r>
    </w:p>
    <w:p w14:paraId="3F1A881D" w14:textId="77777777" w:rsidR="00DF7FE6" w:rsidRDefault="00DF7FE6" w:rsidP="00472573">
      <w:pPr>
        <w:jc w:val="both"/>
        <w:rPr>
          <w:b/>
          <w:bCs/>
          <w:szCs w:val="24"/>
          <w:lang w:val="en-US"/>
        </w:rPr>
      </w:pPr>
      <w:r>
        <w:rPr>
          <w:b/>
          <w:szCs w:val="24"/>
          <w:lang w:val="en"/>
        </w:rPr>
        <w:t xml:space="preserve">Table </w:t>
      </w:r>
      <w:r>
        <w:rPr>
          <w:b/>
          <w:bCs/>
          <w:szCs w:val="24"/>
          <w:lang w:val="en"/>
        </w:rPr>
        <w:t>4.</w:t>
      </w:r>
      <w:r>
        <w:rPr>
          <w:lang w:val="en"/>
        </w:rPr>
        <w:t xml:space="preserve"> </w:t>
      </w:r>
      <w:r>
        <w:rPr>
          <w:b/>
          <w:szCs w:val="24"/>
          <w:lang w:val="en"/>
        </w:rPr>
        <w:t>Autocorrelation Test Results</w:t>
      </w:r>
    </w:p>
    <w:p w14:paraId="26511AE2" w14:textId="03C5AB83" w:rsidR="00737F00" w:rsidRDefault="00737F00" w:rsidP="00737F00">
      <w:pPr>
        <w:jc w:val="both"/>
        <w:rPr>
          <w:b/>
          <w:bCs/>
          <w:szCs w:val="24"/>
          <w:lang w:val="en-US"/>
        </w:rPr>
      </w:pPr>
    </w:p>
    <w:tbl>
      <w:tblPr>
        <w:tblW w:w="6946" w:type="dxa"/>
        <w:jc w:val="center"/>
        <w:tblLook w:val="04A0" w:firstRow="1" w:lastRow="0" w:firstColumn="1" w:lastColumn="0" w:noHBand="0" w:noVBand="1"/>
      </w:tblPr>
      <w:tblGrid>
        <w:gridCol w:w="2552"/>
        <w:gridCol w:w="4394"/>
      </w:tblGrid>
      <w:tr w:rsidR="00737F00" w14:paraId="4A779451" w14:textId="77777777" w:rsidTr="00737F00">
        <w:trPr>
          <w:trHeight w:val="35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08129CB"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Model</w:t>
            </w:r>
          </w:p>
        </w:tc>
        <w:tc>
          <w:tcPr>
            <w:tcW w:w="4394" w:type="dxa"/>
            <w:tcBorders>
              <w:top w:val="single" w:sz="4" w:space="0" w:color="auto"/>
              <w:left w:val="nil"/>
              <w:bottom w:val="single" w:sz="4" w:space="0" w:color="auto"/>
              <w:right w:val="single" w:sz="4" w:space="0" w:color="auto"/>
            </w:tcBorders>
            <w:vAlign w:val="center"/>
            <w:hideMark/>
          </w:tcPr>
          <w:p w14:paraId="462D147B" w14:textId="77777777" w:rsidR="00737F00" w:rsidRDefault="00737F00">
            <w:pPr>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Durbin-Watson</w:t>
            </w:r>
          </w:p>
        </w:tc>
      </w:tr>
      <w:tr w:rsidR="00737F00" w14:paraId="21BE3F4F" w14:textId="77777777" w:rsidTr="00737F00">
        <w:trPr>
          <w:trHeight w:val="300"/>
          <w:jc w:val="center"/>
        </w:trPr>
        <w:tc>
          <w:tcPr>
            <w:tcW w:w="2552" w:type="dxa"/>
            <w:tcBorders>
              <w:top w:val="nil"/>
              <w:left w:val="single" w:sz="4" w:space="0" w:color="auto"/>
              <w:bottom w:val="single" w:sz="4" w:space="0" w:color="auto"/>
              <w:right w:val="single" w:sz="4" w:space="0" w:color="auto"/>
            </w:tcBorders>
            <w:noWrap/>
            <w:hideMark/>
          </w:tcPr>
          <w:p w14:paraId="6881B4E6"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w:t>
            </w:r>
          </w:p>
        </w:tc>
        <w:tc>
          <w:tcPr>
            <w:tcW w:w="4394" w:type="dxa"/>
            <w:tcBorders>
              <w:top w:val="nil"/>
              <w:left w:val="nil"/>
              <w:bottom w:val="single" w:sz="4" w:space="0" w:color="auto"/>
              <w:right w:val="single" w:sz="4" w:space="0" w:color="auto"/>
            </w:tcBorders>
            <w:noWrap/>
            <w:hideMark/>
          </w:tcPr>
          <w:p w14:paraId="5305D4B7" w14:textId="77777777" w:rsidR="00737F00" w:rsidRDefault="00737F00">
            <w:pPr>
              <w:jc w:val="right"/>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1,939</w:t>
            </w:r>
          </w:p>
        </w:tc>
      </w:tr>
      <w:tr w:rsidR="00737F00" w14:paraId="0BDAA355" w14:textId="77777777" w:rsidTr="00737F00">
        <w:trPr>
          <w:trHeight w:val="300"/>
          <w:jc w:val="center"/>
        </w:trPr>
        <w:tc>
          <w:tcPr>
            <w:tcW w:w="6946" w:type="dxa"/>
            <w:gridSpan w:val="2"/>
            <w:tcBorders>
              <w:top w:val="single" w:sz="4" w:space="0" w:color="auto"/>
              <w:left w:val="single" w:sz="4" w:space="0" w:color="auto"/>
              <w:bottom w:val="single" w:sz="4" w:space="0" w:color="auto"/>
              <w:right w:val="single" w:sz="4" w:space="0" w:color="auto"/>
            </w:tcBorders>
            <w:hideMark/>
          </w:tcPr>
          <w:p w14:paraId="1A8F7079"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a. Predictors: (Constant), Good Corporate, Intellectual Capital, ERM Disclosure</w:t>
            </w:r>
          </w:p>
        </w:tc>
      </w:tr>
      <w:tr w:rsidR="00737F00" w14:paraId="117A4E67" w14:textId="77777777" w:rsidTr="00737F00">
        <w:trPr>
          <w:trHeight w:val="300"/>
          <w:jc w:val="center"/>
        </w:trPr>
        <w:tc>
          <w:tcPr>
            <w:tcW w:w="6946" w:type="dxa"/>
            <w:gridSpan w:val="2"/>
            <w:tcBorders>
              <w:top w:val="single" w:sz="4" w:space="0" w:color="auto"/>
              <w:left w:val="single" w:sz="4" w:space="0" w:color="auto"/>
              <w:bottom w:val="single" w:sz="4" w:space="0" w:color="auto"/>
              <w:right w:val="single" w:sz="4" w:space="0" w:color="auto"/>
            </w:tcBorders>
            <w:hideMark/>
          </w:tcPr>
          <w:p w14:paraId="5DB8B165" w14:textId="77777777" w:rsidR="00737F00" w:rsidRDefault="00737F00">
            <w:pP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b. Dependent Variable: Nilai Perusahaan</w:t>
            </w:r>
          </w:p>
        </w:tc>
      </w:tr>
    </w:tbl>
    <w:p w14:paraId="05C7FFFA" w14:textId="77777777" w:rsidR="00DF7FE6" w:rsidRDefault="00737F00" w:rsidP="00B3090C">
      <w:pPr>
        <w:contextualSpacing/>
        <w:jc w:val="both"/>
        <w:rPr>
          <w:b/>
          <w:szCs w:val="24"/>
          <w:lang w:val="en-US"/>
        </w:rPr>
      </w:pPr>
      <w:r>
        <w:rPr>
          <w:bCs/>
          <w:sz w:val="22"/>
        </w:rPr>
        <w:t xml:space="preserve">         </w:t>
      </w:r>
      <w:r>
        <w:rPr>
          <w:bCs/>
          <w:sz w:val="22"/>
          <w:lang w:val="en-US"/>
        </w:rPr>
        <w:t xml:space="preserve">         </w:t>
      </w:r>
      <w:r w:rsidR="00DF7FE6">
        <w:rPr>
          <w:sz w:val="22"/>
          <w:lang w:val="en"/>
        </w:rPr>
        <w:t>Source: data processed</w:t>
      </w:r>
      <w:r w:rsidR="00DF7FE6">
        <w:rPr>
          <w:bCs/>
          <w:sz w:val="22"/>
          <w:lang w:val="en"/>
        </w:rPr>
        <w:t xml:space="preserve"> 2021</w:t>
      </w:r>
    </w:p>
    <w:p w14:paraId="5315715A" w14:textId="64B3D5E9" w:rsidR="002C13AB" w:rsidRDefault="00DF7FE6" w:rsidP="00737F00">
      <w:pPr>
        <w:ind w:firstLine="567"/>
        <w:contextualSpacing/>
        <w:jc w:val="both"/>
        <w:rPr>
          <w:bCs/>
          <w:sz w:val="22"/>
          <w:lang w:val="en-US"/>
        </w:rPr>
      </w:pPr>
      <w:r>
        <w:rPr>
          <w:sz w:val="22"/>
          <w:lang w:val="en"/>
        </w:rPr>
        <w:t xml:space="preserve">Based on Table 4 above it can be seen that Durbin Watson's value of 1,939 this figure explains that the data does not experience symptoms of </w:t>
      </w:r>
      <w:proofErr w:type="gramStart"/>
      <w:r>
        <w:rPr>
          <w:sz w:val="22"/>
          <w:lang w:val="en"/>
        </w:rPr>
        <w:t>autocorrelation.</w:t>
      </w:r>
      <w:r w:rsidR="00C666D5">
        <w:rPr>
          <w:bCs/>
          <w:sz w:val="22"/>
          <w:lang w:val="en-US"/>
        </w:rPr>
        <w:t>.</w:t>
      </w:r>
      <w:proofErr w:type="gramEnd"/>
    </w:p>
    <w:p w14:paraId="593FF046" w14:textId="04F1A52B" w:rsidR="009C61D8" w:rsidRDefault="009C61D8" w:rsidP="00737F00">
      <w:pPr>
        <w:contextualSpacing/>
        <w:jc w:val="both"/>
        <w:rPr>
          <w:bCs/>
          <w:sz w:val="22"/>
          <w:lang w:val="en-US"/>
        </w:rPr>
      </w:pPr>
    </w:p>
    <w:p w14:paraId="34F6D79F" w14:textId="77777777" w:rsidR="00DF7FE6" w:rsidRDefault="00DF7FE6" w:rsidP="00795029">
      <w:pPr>
        <w:jc w:val="both"/>
        <w:rPr>
          <w:b/>
          <w:sz w:val="22"/>
          <w:lang w:val="en-US"/>
        </w:rPr>
      </w:pPr>
      <w:r w:rsidRPr="009C61D8">
        <w:rPr>
          <w:b/>
          <w:sz w:val="22"/>
          <w:lang w:val="en"/>
        </w:rPr>
        <w:t>Model Feasibility Test</w:t>
      </w:r>
    </w:p>
    <w:p w14:paraId="3E2597A7" w14:textId="7CBAC2D4" w:rsidR="00737F00" w:rsidRPr="00933B49" w:rsidRDefault="00DF7FE6" w:rsidP="00737F00">
      <w:pPr>
        <w:rPr>
          <w:b/>
          <w:bCs/>
        </w:rPr>
      </w:pPr>
      <w:r w:rsidRPr="00933B49">
        <w:rPr>
          <w:b/>
          <w:bCs/>
          <w:lang w:val="en"/>
        </w:rPr>
        <w:t>Table</w:t>
      </w:r>
      <w:r>
        <w:rPr>
          <w:b/>
          <w:lang w:val="en"/>
        </w:rPr>
        <w:t xml:space="preserve"> 5.</w:t>
      </w:r>
      <w:r>
        <w:rPr>
          <w:lang w:val="en"/>
        </w:rPr>
        <w:t xml:space="preserve"> </w:t>
      </w:r>
      <w:r w:rsidRPr="00933B49">
        <w:rPr>
          <w:b/>
          <w:bCs/>
          <w:lang w:val="en"/>
        </w:rPr>
        <w:t>Test Results F</w:t>
      </w:r>
    </w:p>
    <w:tbl>
      <w:tblPr>
        <w:tblW w:w="7440" w:type="dxa"/>
        <w:tblLook w:val="04A0" w:firstRow="1" w:lastRow="0" w:firstColumn="1" w:lastColumn="0" w:noHBand="0" w:noVBand="1"/>
      </w:tblPr>
      <w:tblGrid>
        <w:gridCol w:w="316"/>
        <w:gridCol w:w="1924"/>
        <w:gridCol w:w="1360"/>
        <w:gridCol w:w="960"/>
        <w:gridCol w:w="960"/>
        <w:gridCol w:w="960"/>
        <w:gridCol w:w="960"/>
      </w:tblGrid>
      <w:tr w:rsidR="00737F00" w:rsidRPr="002F590E" w14:paraId="77A59C4A" w14:textId="77777777" w:rsidTr="002E7CEB">
        <w:trPr>
          <w:trHeight w:val="525"/>
        </w:trPr>
        <w:tc>
          <w:tcPr>
            <w:tcW w:w="224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337AE18"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Model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4A1EB30C" w14:textId="77777777" w:rsidR="00737F00" w:rsidRPr="002F590E" w:rsidRDefault="00737F00" w:rsidP="002E7CEB">
            <w:pPr>
              <w:jc w:val="center"/>
              <w:rPr>
                <w:rFonts w:eastAsia="Times New Roman"/>
                <w:color w:val="000000"/>
                <w:sz w:val="20"/>
                <w:szCs w:val="20"/>
                <w:lang w:eastAsia="id-ID"/>
              </w:rPr>
            </w:pPr>
            <w:r w:rsidRPr="002F590E">
              <w:rPr>
                <w:rFonts w:eastAsia="Times New Roman"/>
                <w:color w:val="000000"/>
                <w:sz w:val="20"/>
                <w:szCs w:val="20"/>
                <w:lang w:eastAsia="id-ID"/>
              </w:rPr>
              <w:t>Sum of Squares</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16C7B585" w14:textId="77777777" w:rsidR="00737F00" w:rsidRPr="002F590E" w:rsidRDefault="00737F00" w:rsidP="002E7CEB">
            <w:pPr>
              <w:jc w:val="center"/>
              <w:rPr>
                <w:rFonts w:eastAsia="Times New Roman"/>
                <w:color w:val="000000"/>
                <w:sz w:val="20"/>
                <w:szCs w:val="20"/>
                <w:lang w:eastAsia="id-ID"/>
              </w:rPr>
            </w:pPr>
            <w:r w:rsidRPr="002F590E">
              <w:rPr>
                <w:rFonts w:eastAsia="Times New Roman"/>
                <w:color w:val="000000"/>
                <w:sz w:val="20"/>
                <w:szCs w:val="20"/>
                <w:lang w:eastAsia="id-ID"/>
              </w:rPr>
              <w:t>Df</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068B60D9" w14:textId="77777777" w:rsidR="00737F00" w:rsidRPr="002F590E" w:rsidRDefault="00737F00" w:rsidP="002E7CEB">
            <w:pPr>
              <w:jc w:val="center"/>
              <w:rPr>
                <w:rFonts w:eastAsia="Times New Roman"/>
                <w:color w:val="000000"/>
                <w:sz w:val="20"/>
                <w:szCs w:val="20"/>
                <w:lang w:eastAsia="id-ID"/>
              </w:rPr>
            </w:pPr>
            <w:r w:rsidRPr="002F590E">
              <w:rPr>
                <w:rFonts w:eastAsia="Times New Roman"/>
                <w:color w:val="000000"/>
                <w:sz w:val="20"/>
                <w:szCs w:val="20"/>
                <w:lang w:eastAsia="id-ID"/>
              </w:rPr>
              <w:t>Mean Square</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2C0F1AC8" w14:textId="77777777" w:rsidR="00737F00" w:rsidRPr="002F590E" w:rsidRDefault="00737F00" w:rsidP="002E7CEB">
            <w:pPr>
              <w:jc w:val="center"/>
              <w:rPr>
                <w:rFonts w:eastAsia="Times New Roman"/>
                <w:color w:val="000000"/>
                <w:sz w:val="20"/>
                <w:szCs w:val="20"/>
                <w:lang w:eastAsia="id-ID"/>
              </w:rPr>
            </w:pPr>
            <w:r w:rsidRPr="002F590E">
              <w:rPr>
                <w:rFonts w:eastAsia="Times New Roman"/>
                <w:color w:val="000000"/>
                <w:sz w:val="20"/>
                <w:szCs w:val="20"/>
                <w:lang w:eastAsia="id-ID"/>
              </w:rPr>
              <w:t>F</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5A833C1A" w14:textId="77777777" w:rsidR="00737F00" w:rsidRPr="002F590E" w:rsidRDefault="00737F00" w:rsidP="002E7CEB">
            <w:pPr>
              <w:jc w:val="center"/>
              <w:rPr>
                <w:rFonts w:eastAsia="Times New Roman"/>
                <w:color w:val="000000"/>
                <w:sz w:val="20"/>
                <w:szCs w:val="20"/>
                <w:lang w:eastAsia="id-ID"/>
              </w:rPr>
            </w:pPr>
            <w:r w:rsidRPr="002F590E">
              <w:rPr>
                <w:rFonts w:eastAsia="Times New Roman"/>
                <w:color w:val="000000"/>
                <w:sz w:val="20"/>
                <w:szCs w:val="20"/>
                <w:lang w:eastAsia="id-ID"/>
              </w:rPr>
              <w:t>Sig.</w:t>
            </w:r>
          </w:p>
        </w:tc>
      </w:tr>
      <w:tr w:rsidR="00737F00" w:rsidRPr="002F590E" w14:paraId="33827999" w14:textId="77777777" w:rsidTr="002E7CEB">
        <w:trPr>
          <w:trHeight w:val="300"/>
        </w:trPr>
        <w:tc>
          <w:tcPr>
            <w:tcW w:w="224" w:type="dxa"/>
            <w:vMerge w:val="restart"/>
            <w:tcBorders>
              <w:top w:val="nil"/>
              <w:left w:val="single" w:sz="4" w:space="0" w:color="auto"/>
              <w:bottom w:val="single" w:sz="4" w:space="0" w:color="000000"/>
              <w:right w:val="single" w:sz="4" w:space="0" w:color="auto"/>
            </w:tcBorders>
            <w:shd w:val="clear" w:color="auto" w:fill="auto"/>
            <w:noWrap/>
            <w:hideMark/>
          </w:tcPr>
          <w:p w14:paraId="2769C3D6"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1</w:t>
            </w:r>
          </w:p>
        </w:tc>
        <w:tc>
          <w:tcPr>
            <w:tcW w:w="2016" w:type="dxa"/>
            <w:tcBorders>
              <w:top w:val="nil"/>
              <w:left w:val="nil"/>
              <w:bottom w:val="single" w:sz="4" w:space="0" w:color="auto"/>
              <w:right w:val="single" w:sz="4" w:space="0" w:color="auto"/>
            </w:tcBorders>
            <w:shd w:val="clear" w:color="auto" w:fill="auto"/>
            <w:hideMark/>
          </w:tcPr>
          <w:p w14:paraId="1F8AB373"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Regression</w:t>
            </w:r>
          </w:p>
        </w:tc>
        <w:tc>
          <w:tcPr>
            <w:tcW w:w="1360" w:type="dxa"/>
            <w:tcBorders>
              <w:top w:val="nil"/>
              <w:left w:val="nil"/>
              <w:bottom w:val="single" w:sz="4" w:space="0" w:color="auto"/>
              <w:right w:val="single" w:sz="4" w:space="0" w:color="auto"/>
            </w:tcBorders>
            <w:shd w:val="clear" w:color="auto" w:fill="auto"/>
            <w:noWrap/>
            <w:hideMark/>
          </w:tcPr>
          <w:p w14:paraId="2712F9ED"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4,600</w:t>
            </w:r>
          </w:p>
        </w:tc>
        <w:tc>
          <w:tcPr>
            <w:tcW w:w="960" w:type="dxa"/>
            <w:tcBorders>
              <w:top w:val="nil"/>
              <w:left w:val="nil"/>
              <w:bottom w:val="single" w:sz="4" w:space="0" w:color="auto"/>
              <w:right w:val="single" w:sz="4" w:space="0" w:color="auto"/>
            </w:tcBorders>
            <w:shd w:val="clear" w:color="auto" w:fill="auto"/>
            <w:noWrap/>
            <w:hideMark/>
          </w:tcPr>
          <w:p w14:paraId="1E0AC6F3"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3</w:t>
            </w:r>
          </w:p>
        </w:tc>
        <w:tc>
          <w:tcPr>
            <w:tcW w:w="960" w:type="dxa"/>
            <w:tcBorders>
              <w:top w:val="nil"/>
              <w:left w:val="nil"/>
              <w:bottom w:val="single" w:sz="4" w:space="0" w:color="auto"/>
              <w:right w:val="single" w:sz="4" w:space="0" w:color="auto"/>
            </w:tcBorders>
            <w:shd w:val="clear" w:color="auto" w:fill="auto"/>
            <w:noWrap/>
            <w:hideMark/>
          </w:tcPr>
          <w:p w14:paraId="1E7F278E"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1,533</w:t>
            </w:r>
          </w:p>
        </w:tc>
        <w:tc>
          <w:tcPr>
            <w:tcW w:w="960" w:type="dxa"/>
            <w:tcBorders>
              <w:top w:val="nil"/>
              <w:left w:val="nil"/>
              <w:bottom w:val="single" w:sz="4" w:space="0" w:color="auto"/>
              <w:right w:val="single" w:sz="4" w:space="0" w:color="auto"/>
            </w:tcBorders>
            <w:shd w:val="clear" w:color="auto" w:fill="auto"/>
            <w:noWrap/>
            <w:hideMark/>
          </w:tcPr>
          <w:p w14:paraId="0F1D2CCF" w14:textId="77777777" w:rsidR="00737F00" w:rsidRPr="002F590E" w:rsidRDefault="00737F00" w:rsidP="002E7CEB">
            <w:pPr>
              <w:jc w:val="right"/>
              <w:rPr>
                <w:rFonts w:eastAsia="Times New Roman"/>
                <w:color w:val="000000"/>
                <w:sz w:val="20"/>
                <w:szCs w:val="20"/>
                <w:lang w:eastAsia="id-ID"/>
              </w:rPr>
            </w:pPr>
            <w:r>
              <w:rPr>
                <w:rFonts w:eastAsia="Times New Roman"/>
                <w:color w:val="000000"/>
                <w:sz w:val="20"/>
                <w:szCs w:val="20"/>
                <w:lang w:eastAsia="id-ID"/>
              </w:rPr>
              <w:t>5</w:t>
            </w:r>
            <w:r w:rsidRPr="002F590E">
              <w:rPr>
                <w:rFonts w:eastAsia="Times New Roman"/>
                <w:color w:val="000000"/>
                <w:sz w:val="20"/>
                <w:szCs w:val="20"/>
                <w:lang w:eastAsia="id-ID"/>
              </w:rPr>
              <w:t>,384</w:t>
            </w:r>
          </w:p>
        </w:tc>
        <w:tc>
          <w:tcPr>
            <w:tcW w:w="960" w:type="dxa"/>
            <w:tcBorders>
              <w:top w:val="nil"/>
              <w:left w:val="nil"/>
              <w:bottom w:val="single" w:sz="4" w:space="0" w:color="auto"/>
              <w:right w:val="single" w:sz="4" w:space="0" w:color="auto"/>
            </w:tcBorders>
            <w:shd w:val="clear" w:color="auto" w:fill="auto"/>
            <w:noWrap/>
            <w:hideMark/>
          </w:tcPr>
          <w:p w14:paraId="6D4CB9D8" w14:textId="77777777" w:rsidR="00737F00" w:rsidRPr="002F590E" w:rsidRDefault="00737F00" w:rsidP="002E7CEB">
            <w:pPr>
              <w:jc w:val="right"/>
              <w:rPr>
                <w:rFonts w:eastAsia="Times New Roman"/>
                <w:color w:val="000000"/>
                <w:sz w:val="20"/>
                <w:szCs w:val="20"/>
                <w:lang w:eastAsia="id-ID"/>
              </w:rPr>
            </w:pPr>
            <w:r>
              <w:rPr>
                <w:rFonts w:eastAsia="Times New Roman"/>
                <w:color w:val="000000"/>
                <w:sz w:val="20"/>
                <w:szCs w:val="20"/>
                <w:lang w:eastAsia="id-ID"/>
              </w:rPr>
              <w:t>0</w:t>
            </w:r>
            <w:r w:rsidRPr="002F590E">
              <w:rPr>
                <w:rFonts w:eastAsia="Times New Roman"/>
                <w:color w:val="000000"/>
                <w:sz w:val="20"/>
                <w:szCs w:val="20"/>
                <w:lang w:eastAsia="id-ID"/>
              </w:rPr>
              <w:t>,</w:t>
            </w:r>
            <w:r>
              <w:rPr>
                <w:rFonts w:eastAsia="Times New Roman"/>
                <w:color w:val="000000"/>
                <w:sz w:val="20"/>
                <w:szCs w:val="20"/>
                <w:lang w:eastAsia="id-ID"/>
              </w:rPr>
              <w:t>00</w:t>
            </w:r>
            <w:r w:rsidRPr="002F590E">
              <w:rPr>
                <w:rFonts w:eastAsia="Times New Roman"/>
                <w:color w:val="000000"/>
                <w:sz w:val="20"/>
                <w:szCs w:val="20"/>
                <w:lang w:eastAsia="id-ID"/>
              </w:rPr>
              <w:t>5</w:t>
            </w:r>
            <w:r w:rsidRPr="002F590E">
              <w:rPr>
                <w:rFonts w:eastAsia="Times New Roman"/>
                <w:color w:val="000000"/>
                <w:sz w:val="20"/>
                <w:szCs w:val="20"/>
                <w:vertAlign w:val="superscript"/>
                <w:lang w:eastAsia="id-ID"/>
              </w:rPr>
              <w:t>b</w:t>
            </w:r>
          </w:p>
        </w:tc>
      </w:tr>
      <w:tr w:rsidR="00737F00" w:rsidRPr="002F590E" w14:paraId="57560EE0" w14:textId="77777777" w:rsidTr="002E7CEB">
        <w:trPr>
          <w:trHeight w:val="300"/>
        </w:trPr>
        <w:tc>
          <w:tcPr>
            <w:tcW w:w="224" w:type="dxa"/>
            <w:vMerge/>
            <w:tcBorders>
              <w:top w:val="nil"/>
              <w:left w:val="single" w:sz="4" w:space="0" w:color="auto"/>
              <w:bottom w:val="single" w:sz="4" w:space="0" w:color="000000"/>
              <w:right w:val="single" w:sz="4" w:space="0" w:color="auto"/>
            </w:tcBorders>
            <w:vAlign w:val="center"/>
            <w:hideMark/>
          </w:tcPr>
          <w:p w14:paraId="2F7FAC3D" w14:textId="77777777" w:rsidR="00737F00" w:rsidRPr="002F590E" w:rsidRDefault="00737F00" w:rsidP="002E7CEB">
            <w:pPr>
              <w:rPr>
                <w:rFonts w:eastAsia="Times New Roman"/>
                <w:color w:val="000000"/>
                <w:sz w:val="20"/>
                <w:szCs w:val="20"/>
                <w:lang w:eastAsia="id-ID"/>
              </w:rPr>
            </w:pPr>
          </w:p>
        </w:tc>
        <w:tc>
          <w:tcPr>
            <w:tcW w:w="2016" w:type="dxa"/>
            <w:tcBorders>
              <w:top w:val="nil"/>
              <w:left w:val="nil"/>
              <w:bottom w:val="single" w:sz="4" w:space="0" w:color="auto"/>
              <w:right w:val="single" w:sz="4" w:space="0" w:color="auto"/>
            </w:tcBorders>
            <w:shd w:val="clear" w:color="auto" w:fill="auto"/>
            <w:hideMark/>
          </w:tcPr>
          <w:p w14:paraId="4FFF68D7"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Residual</w:t>
            </w:r>
          </w:p>
        </w:tc>
        <w:tc>
          <w:tcPr>
            <w:tcW w:w="1360" w:type="dxa"/>
            <w:tcBorders>
              <w:top w:val="nil"/>
              <w:left w:val="nil"/>
              <w:bottom w:val="single" w:sz="4" w:space="0" w:color="auto"/>
              <w:right w:val="single" w:sz="4" w:space="0" w:color="auto"/>
            </w:tcBorders>
            <w:shd w:val="clear" w:color="auto" w:fill="auto"/>
            <w:noWrap/>
            <w:hideMark/>
          </w:tcPr>
          <w:p w14:paraId="1465E14A"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958,176</w:t>
            </w:r>
          </w:p>
        </w:tc>
        <w:tc>
          <w:tcPr>
            <w:tcW w:w="960" w:type="dxa"/>
            <w:tcBorders>
              <w:top w:val="nil"/>
              <w:left w:val="nil"/>
              <w:bottom w:val="single" w:sz="4" w:space="0" w:color="auto"/>
              <w:right w:val="single" w:sz="4" w:space="0" w:color="auto"/>
            </w:tcBorders>
            <w:shd w:val="clear" w:color="auto" w:fill="auto"/>
            <w:noWrap/>
            <w:hideMark/>
          </w:tcPr>
          <w:p w14:paraId="23809DEA"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240</w:t>
            </w:r>
          </w:p>
        </w:tc>
        <w:tc>
          <w:tcPr>
            <w:tcW w:w="960" w:type="dxa"/>
            <w:tcBorders>
              <w:top w:val="nil"/>
              <w:left w:val="nil"/>
              <w:bottom w:val="single" w:sz="4" w:space="0" w:color="auto"/>
              <w:right w:val="single" w:sz="4" w:space="0" w:color="auto"/>
            </w:tcBorders>
            <w:shd w:val="clear" w:color="auto" w:fill="auto"/>
            <w:noWrap/>
            <w:hideMark/>
          </w:tcPr>
          <w:p w14:paraId="1836DF2B"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3,992</w:t>
            </w:r>
          </w:p>
        </w:tc>
        <w:tc>
          <w:tcPr>
            <w:tcW w:w="960" w:type="dxa"/>
            <w:tcBorders>
              <w:top w:val="nil"/>
              <w:left w:val="nil"/>
              <w:bottom w:val="single" w:sz="4" w:space="0" w:color="auto"/>
              <w:right w:val="single" w:sz="4" w:space="0" w:color="auto"/>
            </w:tcBorders>
            <w:shd w:val="clear" w:color="auto" w:fill="auto"/>
            <w:hideMark/>
          </w:tcPr>
          <w:p w14:paraId="0C1C4134"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 </w:t>
            </w:r>
          </w:p>
        </w:tc>
        <w:tc>
          <w:tcPr>
            <w:tcW w:w="960" w:type="dxa"/>
            <w:tcBorders>
              <w:top w:val="nil"/>
              <w:left w:val="nil"/>
              <w:bottom w:val="single" w:sz="4" w:space="0" w:color="auto"/>
              <w:right w:val="single" w:sz="4" w:space="0" w:color="auto"/>
            </w:tcBorders>
            <w:shd w:val="clear" w:color="auto" w:fill="auto"/>
            <w:hideMark/>
          </w:tcPr>
          <w:p w14:paraId="32FE0D6E"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 </w:t>
            </w:r>
          </w:p>
        </w:tc>
      </w:tr>
      <w:tr w:rsidR="00737F00" w:rsidRPr="002F590E" w14:paraId="0EE9C885" w14:textId="77777777" w:rsidTr="002E7CEB">
        <w:trPr>
          <w:trHeight w:val="300"/>
        </w:trPr>
        <w:tc>
          <w:tcPr>
            <w:tcW w:w="224" w:type="dxa"/>
            <w:vMerge/>
            <w:tcBorders>
              <w:top w:val="nil"/>
              <w:left w:val="single" w:sz="4" w:space="0" w:color="auto"/>
              <w:bottom w:val="single" w:sz="4" w:space="0" w:color="000000"/>
              <w:right w:val="single" w:sz="4" w:space="0" w:color="auto"/>
            </w:tcBorders>
            <w:vAlign w:val="center"/>
            <w:hideMark/>
          </w:tcPr>
          <w:p w14:paraId="1B858005" w14:textId="77777777" w:rsidR="00737F00" w:rsidRPr="002F590E" w:rsidRDefault="00737F00" w:rsidP="002E7CEB">
            <w:pPr>
              <w:rPr>
                <w:rFonts w:eastAsia="Times New Roman"/>
                <w:color w:val="000000"/>
                <w:sz w:val="20"/>
                <w:szCs w:val="20"/>
                <w:lang w:eastAsia="id-ID"/>
              </w:rPr>
            </w:pPr>
          </w:p>
        </w:tc>
        <w:tc>
          <w:tcPr>
            <w:tcW w:w="2016" w:type="dxa"/>
            <w:tcBorders>
              <w:top w:val="nil"/>
              <w:left w:val="nil"/>
              <w:bottom w:val="single" w:sz="4" w:space="0" w:color="auto"/>
              <w:right w:val="single" w:sz="4" w:space="0" w:color="auto"/>
            </w:tcBorders>
            <w:shd w:val="clear" w:color="auto" w:fill="auto"/>
            <w:hideMark/>
          </w:tcPr>
          <w:p w14:paraId="6B8CEEB8"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Total</w:t>
            </w:r>
          </w:p>
        </w:tc>
        <w:tc>
          <w:tcPr>
            <w:tcW w:w="1360" w:type="dxa"/>
            <w:tcBorders>
              <w:top w:val="nil"/>
              <w:left w:val="nil"/>
              <w:bottom w:val="single" w:sz="4" w:space="0" w:color="auto"/>
              <w:right w:val="single" w:sz="4" w:space="0" w:color="auto"/>
            </w:tcBorders>
            <w:shd w:val="clear" w:color="auto" w:fill="auto"/>
            <w:noWrap/>
            <w:hideMark/>
          </w:tcPr>
          <w:p w14:paraId="18AEFDCF"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962,775</w:t>
            </w:r>
          </w:p>
        </w:tc>
        <w:tc>
          <w:tcPr>
            <w:tcW w:w="960" w:type="dxa"/>
            <w:tcBorders>
              <w:top w:val="nil"/>
              <w:left w:val="nil"/>
              <w:bottom w:val="single" w:sz="4" w:space="0" w:color="auto"/>
              <w:right w:val="single" w:sz="4" w:space="0" w:color="auto"/>
            </w:tcBorders>
            <w:shd w:val="clear" w:color="auto" w:fill="auto"/>
            <w:noWrap/>
            <w:hideMark/>
          </w:tcPr>
          <w:p w14:paraId="0C4BB682" w14:textId="77777777" w:rsidR="00737F00" w:rsidRPr="002F590E" w:rsidRDefault="00737F00" w:rsidP="002E7CEB">
            <w:pPr>
              <w:jc w:val="right"/>
              <w:rPr>
                <w:rFonts w:eastAsia="Times New Roman"/>
                <w:color w:val="000000"/>
                <w:sz w:val="20"/>
                <w:szCs w:val="20"/>
                <w:lang w:eastAsia="id-ID"/>
              </w:rPr>
            </w:pPr>
            <w:r w:rsidRPr="002F590E">
              <w:rPr>
                <w:rFonts w:eastAsia="Times New Roman"/>
                <w:color w:val="000000"/>
                <w:sz w:val="20"/>
                <w:szCs w:val="20"/>
                <w:lang w:eastAsia="id-ID"/>
              </w:rPr>
              <w:t>243</w:t>
            </w:r>
          </w:p>
        </w:tc>
        <w:tc>
          <w:tcPr>
            <w:tcW w:w="960" w:type="dxa"/>
            <w:tcBorders>
              <w:top w:val="nil"/>
              <w:left w:val="nil"/>
              <w:bottom w:val="single" w:sz="4" w:space="0" w:color="auto"/>
              <w:right w:val="single" w:sz="4" w:space="0" w:color="auto"/>
            </w:tcBorders>
            <w:shd w:val="clear" w:color="auto" w:fill="auto"/>
            <w:hideMark/>
          </w:tcPr>
          <w:p w14:paraId="4FA55791"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 </w:t>
            </w:r>
          </w:p>
        </w:tc>
        <w:tc>
          <w:tcPr>
            <w:tcW w:w="960" w:type="dxa"/>
            <w:tcBorders>
              <w:top w:val="nil"/>
              <w:left w:val="nil"/>
              <w:bottom w:val="single" w:sz="4" w:space="0" w:color="auto"/>
              <w:right w:val="single" w:sz="4" w:space="0" w:color="auto"/>
            </w:tcBorders>
            <w:shd w:val="clear" w:color="auto" w:fill="auto"/>
            <w:hideMark/>
          </w:tcPr>
          <w:p w14:paraId="151D3450"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 </w:t>
            </w:r>
          </w:p>
        </w:tc>
        <w:tc>
          <w:tcPr>
            <w:tcW w:w="960" w:type="dxa"/>
            <w:tcBorders>
              <w:top w:val="nil"/>
              <w:left w:val="nil"/>
              <w:bottom w:val="single" w:sz="4" w:space="0" w:color="auto"/>
              <w:right w:val="single" w:sz="4" w:space="0" w:color="auto"/>
            </w:tcBorders>
            <w:shd w:val="clear" w:color="auto" w:fill="auto"/>
            <w:hideMark/>
          </w:tcPr>
          <w:p w14:paraId="1C6CA45A" w14:textId="77777777" w:rsidR="00737F00" w:rsidRPr="002F590E" w:rsidRDefault="00737F00" w:rsidP="002E7CEB">
            <w:pPr>
              <w:rPr>
                <w:rFonts w:eastAsia="Times New Roman"/>
                <w:color w:val="000000"/>
                <w:sz w:val="20"/>
                <w:szCs w:val="20"/>
                <w:lang w:eastAsia="id-ID"/>
              </w:rPr>
            </w:pPr>
            <w:r w:rsidRPr="002F590E">
              <w:rPr>
                <w:rFonts w:eastAsia="Times New Roman"/>
                <w:color w:val="000000"/>
                <w:sz w:val="20"/>
                <w:szCs w:val="20"/>
                <w:lang w:eastAsia="id-ID"/>
              </w:rPr>
              <w:t> </w:t>
            </w:r>
          </w:p>
        </w:tc>
      </w:tr>
      <w:tr w:rsidR="00737F00" w:rsidRPr="002F590E" w14:paraId="55FC0D14" w14:textId="77777777" w:rsidTr="002E7CEB">
        <w:trPr>
          <w:trHeight w:val="300"/>
        </w:trPr>
        <w:tc>
          <w:tcPr>
            <w:tcW w:w="7440" w:type="dxa"/>
            <w:gridSpan w:val="7"/>
            <w:tcBorders>
              <w:top w:val="single" w:sz="4" w:space="0" w:color="auto"/>
              <w:left w:val="nil"/>
              <w:bottom w:val="nil"/>
              <w:right w:val="nil"/>
            </w:tcBorders>
            <w:shd w:val="clear" w:color="auto" w:fill="auto"/>
            <w:hideMark/>
          </w:tcPr>
          <w:p w14:paraId="39BE5628" w14:textId="77777777" w:rsidR="00737F00" w:rsidRPr="002F590E" w:rsidRDefault="00737F00" w:rsidP="002E7CEB">
            <w:pPr>
              <w:rPr>
                <w:rFonts w:eastAsia="Times New Roman"/>
                <w:color w:val="993300"/>
                <w:sz w:val="20"/>
                <w:szCs w:val="20"/>
                <w:lang w:eastAsia="id-ID"/>
              </w:rPr>
            </w:pPr>
            <w:r w:rsidRPr="002F590E">
              <w:rPr>
                <w:rFonts w:eastAsia="Times New Roman"/>
                <w:color w:val="993300"/>
                <w:sz w:val="20"/>
                <w:szCs w:val="20"/>
                <w:lang w:eastAsia="id-ID"/>
              </w:rPr>
              <w:t>a. Dependent Variable: Nilai Perusahaan</w:t>
            </w:r>
          </w:p>
        </w:tc>
      </w:tr>
      <w:tr w:rsidR="00737F00" w:rsidRPr="002F590E" w14:paraId="170BF606" w14:textId="77777777" w:rsidTr="002E7CEB">
        <w:trPr>
          <w:trHeight w:val="300"/>
        </w:trPr>
        <w:tc>
          <w:tcPr>
            <w:tcW w:w="7440" w:type="dxa"/>
            <w:gridSpan w:val="7"/>
            <w:tcBorders>
              <w:top w:val="nil"/>
              <w:left w:val="nil"/>
              <w:bottom w:val="nil"/>
              <w:right w:val="nil"/>
            </w:tcBorders>
            <w:shd w:val="clear" w:color="auto" w:fill="auto"/>
            <w:hideMark/>
          </w:tcPr>
          <w:p w14:paraId="418E9C38" w14:textId="77777777" w:rsidR="00737F00" w:rsidRPr="002F590E" w:rsidRDefault="00737F00" w:rsidP="002E7CEB">
            <w:pPr>
              <w:rPr>
                <w:rFonts w:eastAsia="Times New Roman"/>
                <w:color w:val="993300"/>
                <w:sz w:val="20"/>
                <w:szCs w:val="20"/>
                <w:lang w:eastAsia="id-ID"/>
              </w:rPr>
            </w:pPr>
            <w:r w:rsidRPr="002F590E">
              <w:rPr>
                <w:rFonts w:eastAsia="Times New Roman"/>
                <w:color w:val="993300"/>
                <w:sz w:val="20"/>
                <w:szCs w:val="20"/>
                <w:lang w:eastAsia="id-ID"/>
              </w:rPr>
              <w:t>b. Predictors: (Constant), Good Corporate, Intellectual Capital, ERM Disclosure</w:t>
            </w:r>
          </w:p>
        </w:tc>
      </w:tr>
    </w:tbl>
    <w:p w14:paraId="526A884A" w14:textId="77777777" w:rsidR="00DF7FE6" w:rsidRDefault="00DF7FE6" w:rsidP="00F914C8">
      <w:pPr>
        <w:rPr>
          <w:rFonts w:eastAsia="Times New Roman"/>
          <w:color w:val="000000"/>
          <w:szCs w:val="24"/>
          <w:lang w:eastAsia="id-ID"/>
        </w:rPr>
      </w:pPr>
      <w:r w:rsidRPr="002F590E">
        <w:rPr>
          <w:color w:val="000000"/>
          <w:szCs w:val="24"/>
          <w:lang w:val="en"/>
        </w:rPr>
        <w:t>Source: Data processed 2021</w:t>
      </w:r>
    </w:p>
    <w:p w14:paraId="6252D9D5" w14:textId="5BFB4E88" w:rsidR="00926D7E" w:rsidRDefault="00DF7FE6" w:rsidP="00926D7E">
      <w:pPr>
        <w:ind w:firstLine="567"/>
        <w:jc w:val="both"/>
        <w:rPr>
          <w:rFonts w:eastAsia="Times New Roman"/>
          <w:color w:val="000000"/>
          <w:szCs w:val="24"/>
          <w:lang w:eastAsia="id-ID"/>
        </w:rPr>
      </w:pPr>
      <w:r>
        <w:rPr>
          <w:color w:val="000000"/>
          <w:szCs w:val="24"/>
          <w:lang w:val="en"/>
        </w:rPr>
        <w:t>From the results of the analysis test on the model used in this study, obtained results as in the output table above, it is known that the acquisition of values is 5,384 with significance of0.005. With reference to the basis in decision-making where the</w:t>
      </w:r>
      <w:r>
        <w:rPr>
          <w:lang w:val="en"/>
        </w:rPr>
        <w:t xml:space="preserve"> acquisition of significance smaller</w:t>
      </w:r>
      <w:r>
        <w:rPr>
          <w:color w:val="000000"/>
          <w:szCs w:val="24"/>
          <w:lang w:val="en"/>
        </w:rPr>
        <w:t xml:space="preserve"> than 0.05 can be concluded that</w:t>
      </w:r>
      <w:r>
        <w:rPr>
          <w:lang w:val="en"/>
        </w:rPr>
        <w:t xml:space="preserve"> the model used in this study is </w:t>
      </w:r>
      <w:proofErr w:type="gramStart"/>
      <w:r>
        <w:rPr>
          <w:lang w:val="en"/>
        </w:rPr>
        <w:t>feasible.</w:t>
      </w:r>
      <w:r w:rsidR="00926D7E">
        <w:rPr>
          <w:rFonts w:eastAsia="Times New Roman"/>
          <w:color w:val="000000"/>
          <w:szCs w:val="24"/>
          <w:lang w:eastAsia="id-ID"/>
        </w:rPr>
        <w:t>.</w:t>
      </w:r>
      <w:proofErr w:type="gramEnd"/>
    </w:p>
    <w:p w14:paraId="18E256B8" w14:textId="56BCFC2C" w:rsidR="00737F00" w:rsidRDefault="00737F00" w:rsidP="009C61D8">
      <w:pPr>
        <w:jc w:val="both"/>
        <w:rPr>
          <w:bCs/>
          <w:sz w:val="22"/>
          <w:lang w:val="en-US"/>
        </w:rPr>
      </w:pPr>
    </w:p>
    <w:p w14:paraId="0F657BC0" w14:textId="77777777" w:rsidR="00906701" w:rsidRDefault="00906701" w:rsidP="009C61D8">
      <w:pPr>
        <w:jc w:val="both"/>
        <w:rPr>
          <w:b/>
          <w:sz w:val="22"/>
          <w:lang w:val="en-US"/>
        </w:rPr>
      </w:pPr>
    </w:p>
    <w:p w14:paraId="6C422094" w14:textId="77777777" w:rsidR="00906701" w:rsidRDefault="00906701" w:rsidP="009C61D8">
      <w:pPr>
        <w:jc w:val="both"/>
        <w:rPr>
          <w:b/>
          <w:sz w:val="22"/>
          <w:lang w:val="en-US"/>
        </w:rPr>
      </w:pPr>
    </w:p>
    <w:p w14:paraId="610476E8" w14:textId="77777777" w:rsidR="00906701" w:rsidRDefault="00906701" w:rsidP="009C61D8">
      <w:pPr>
        <w:jc w:val="both"/>
        <w:rPr>
          <w:b/>
          <w:sz w:val="22"/>
          <w:lang w:val="en-US"/>
        </w:rPr>
      </w:pPr>
    </w:p>
    <w:p w14:paraId="138C6818" w14:textId="77777777" w:rsidR="00906701" w:rsidRDefault="00906701" w:rsidP="009C61D8">
      <w:pPr>
        <w:jc w:val="both"/>
        <w:rPr>
          <w:b/>
          <w:sz w:val="22"/>
          <w:lang w:val="en-US"/>
        </w:rPr>
      </w:pPr>
    </w:p>
    <w:p w14:paraId="75F18377" w14:textId="77777777" w:rsidR="00906701" w:rsidRDefault="00906701" w:rsidP="009C61D8">
      <w:pPr>
        <w:jc w:val="both"/>
        <w:rPr>
          <w:b/>
          <w:sz w:val="22"/>
          <w:lang w:val="en-US"/>
        </w:rPr>
      </w:pPr>
    </w:p>
    <w:p w14:paraId="1BC1872D" w14:textId="77777777" w:rsidR="00DF7FE6" w:rsidRDefault="00DF7FE6" w:rsidP="00D50709">
      <w:pPr>
        <w:jc w:val="both"/>
        <w:rPr>
          <w:b/>
          <w:sz w:val="22"/>
          <w:lang w:val="en-US"/>
        </w:rPr>
      </w:pPr>
      <w:r w:rsidRPr="00906701">
        <w:rPr>
          <w:b/>
          <w:sz w:val="22"/>
          <w:lang w:val="en"/>
        </w:rPr>
        <w:lastRenderedPageBreak/>
        <w:t>Hypothesis Test</w:t>
      </w:r>
    </w:p>
    <w:p w14:paraId="21867BFA" w14:textId="6A6B91E0" w:rsidR="00906701" w:rsidRDefault="00DF7FE6" w:rsidP="00906701">
      <w:pPr>
        <w:jc w:val="both"/>
        <w:rPr>
          <w:b/>
          <w:bCs/>
          <w:color w:val="000000" w:themeColor="text1"/>
        </w:rPr>
      </w:pPr>
      <w:r>
        <w:rPr>
          <w:b/>
          <w:bCs/>
          <w:color w:val="000000" w:themeColor="text1"/>
          <w:lang w:val="en"/>
        </w:rPr>
        <w:t>Table 6.</w:t>
      </w:r>
      <w:r>
        <w:rPr>
          <w:lang w:val="en"/>
        </w:rPr>
        <w:t xml:space="preserve"> </w:t>
      </w:r>
      <w:r>
        <w:rPr>
          <w:b/>
          <w:bCs/>
          <w:color w:val="000000" w:themeColor="text1"/>
          <w:lang w:val="en"/>
        </w:rPr>
        <w:t xml:space="preserve">Hypothesis Test </w:t>
      </w:r>
      <w:proofErr w:type="gramStart"/>
      <w:r>
        <w:rPr>
          <w:b/>
          <w:bCs/>
          <w:color w:val="000000" w:themeColor="text1"/>
          <w:lang w:val="en"/>
        </w:rPr>
        <w:t>Results</w:t>
      </w:r>
      <w:r>
        <w:rPr>
          <w:lang w:val="en"/>
        </w:rPr>
        <w:t xml:space="preserve"> </w:t>
      </w:r>
      <w:r>
        <w:rPr>
          <w:b/>
          <w:color w:val="000000" w:themeColor="text1"/>
          <w:lang w:val="en"/>
        </w:rPr>
        <w:t xml:space="preserve"> 1</w:t>
      </w:r>
      <w:proofErr w:type="gramEnd"/>
      <w:r>
        <w:rPr>
          <w:b/>
          <w:color w:val="000000" w:themeColor="text1"/>
          <w:lang w:val="en"/>
        </w:rPr>
        <w:t xml:space="preserve"> and 2</w:t>
      </w:r>
      <w:r w:rsidR="00906701">
        <w:rPr>
          <w:b/>
          <w:bCs/>
          <w:color w:val="000000" w:themeColor="text1"/>
        </w:rPr>
        <w:t xml:space="preserve"> </w:t>
      </w:r>
    </w:p>
    <w:tbl>
      <w:tblPr>
        <w:tblW w:w="6799" w:type="dxa"/>
        <w:jc w:val="center"/>
        <w:tblLook w:val="04A0" w:firstRow="1" w:lastRow="0" w:firstColumn="1" w:lastColumn="0" w:noHBand="0" w:noVBand="1"/>
      </w:tblPr>
      <w:tblGrid>
        <w:gridCol w:w="316"/>
        <w:gridCol w:w="1664"/>
        <w:gridCol w:w="850"/>
        <w:gridCol w:w="1134"/>
        <w:gridCol w:w="1276"/>
        <w:gridCol w:w="851"/>
        <w:gridCol w:w="708"/>
      </w:tblGrid>
      <w:tr w:rsidR="00906701" w14:paraId="67A2E709" w14:textId="77777777" w:rsidTr="00906701">
        <w:trPr>
          <w:trHeight w:val="495"/>
          <w:jc w:val="center"/>
        </w:trPr>
        <w:tc>
          <w:tcPr>
            <w:tcW w:w="19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F4EEE80" w14:textId="77777777" w:rsidR="00906701" w:rsidRDefault="00906701">
            <w:pPr>
              <w:jc w:val="center"/>
              <w:rPr>
                <w:rFonts w:eastAsia="Times New Roman"/>
                <w:b/>
                <w:bCs/>
                <w:color w:val="000000" w:themeColor="text1"/>
                <w:sz w:val="18"/>
                <w:szCs w:val="18"/>
                <w:lang w:eastAsia="id-ID"/>
              </w:rPr>
            </w:pPr>
            <w:bookmarkStart w:id="1" w:name="_Hlk83050788"/>
            <w:r>
              <w:rPr>
                <w:rFonts w:eastAsia="Times New Roman"/>
                <w:b/>
                <w:bCs/>
                <w:color w:val="000000" w:themeColor="text1"/>
                <w:sz w:val="18"/>
                <w:szCs w:val="18"/>
                <w:lang w:eastAsia="id-ID"/>
              </w:rPr>
              <w:t>Model</w:t>
            </w:r>
          </w:p>
        </w:tc>
        <w:tc>
          <w:tcPr>
            <w:tcW w:w="1984" w:type="dxa"/>
            <w:gridSpan w:val="2"/>
            <w:tcBorders>
              <w:top w:val="single" w:sz="4" w:space="0" w:color="auto"/>
              <w:left w:val="nil"/>
              <w:bottom w:val="single" w:sz="4" w:space="0" w:color="auto"/>
              <w:right w:val="single" w:sz="4" w:space="0" w:color="auto"/>
            </w:tcBorders>
            <w:vAlign w:val="center"/>
            <w:hideMark/>
          </w:tcPr>
          <w:p w14:paraId="522085AE"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Unstandardized Coefficients</w:t>
            </w:r>
          </w:p>
        </w:tc>
        <w:tc>
          <w:tcPr>
            <w:tcW w:w="1276" w:type="dxa"/>
            <w:tcBorders>
              <w:top w:val="single" w:sz="4" w:space="0" w:color="auto"/>
              <w:left w:val="nil"/>
              <w:bottom w:val="single" w:sz="4" w:space="0" w:color="auto"/>
              <w:right w:val="single" w:sz="4" w:space="0" w:color="auto"/>
            </w:tcBorders>
            <w:vAlign w:val="center"/>
            <w:hideMark/>
          </w:tcPr>
          <w:p w14:paraId="44B5549A"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Standardized Coefficients</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B7B8377"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C6F5F2C"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Sig.</w:t>
            </w:r>
          </w:p>
        </w:tc>
      </w:tr>
      <w:tr w:rsidR="00906701" w14:paraId="6BB7ED3B" w14:textId="77777777" w:rsidTr="00906701">
        <w:trPr>
          <w:trHeight w:val="30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862C1E" w14:textId="77777777" w:rsidR="00906701" w:rsidRDefault="00906701">
            <w:pPr>
              <w:rPr>
                <w:rFonts w:eastAsia="Times New Roman"/>
                <w:b/>
                <w:bCs/>
                <w:color w:val="000000" w:themeColor="text1"/>
                <w:sz w:val="18"/>
                <w:szCs w:val="18"/>
                <w:lang w:eastAsia="id-ID"/>
              </w:rPr>
            </w:pPr>
          </w:p>
        </w:tc>
        <w:tc>
          <w:tcPr>
            <w:tcW w:w="850" w:type="dxa"/>
            <w:tcBorders>
              <w:top w:val="nil"/>
              <w:left w:val="nil"/>
              <w:bottom w:val="single" w:sz="4" w:space="0" w:color="auto"/>
              <w:right w:val="single" w:sz="4" w:space="0" w:color="auto"/>
            </w:tcBorders>
            <w:vAlign w:val="center"/>
            <w:hideMark/>
          </w:tcPr>
          <w:p w14:paraId="095771AA"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B</w:t>
            </w:r>
          </w:p>
        </w:tc>
        <w:tc>
          <w:tcPr>
            <w:tcW w:w="1134" w:type="dxa"/>
            <w:tcBorders>
              <w:top w:val="nil"/>
              <w:left w:val="nil"/>
              <w:bottom w:val="single" w:sz="4" w:space="0" w:color="auto"/>
              <w:right w:val="single" w:sz="4" w:space="0" w:color="auto"/>
            </w:tcBorders>
            <w:vAlign w:val="center"/>
            <w:hideMark/>
          </w:tcPr>
          <w:p w14:paraId="7AB0367C"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Std. Error</w:t>
            </w:r>
          </w:p>
        </w:tc>
        <w:tc>
          <w:tcPr>
            <w:tcW w:w="1276" w:type="dxa"/>
            <w:tcBorders>
              <w:top w:val="nil"/>
              <w:left w:val="nil"/>
              <w:bottom w:val="single" w:sz="4" w:space="0" w:color="auto"/>
              <w:right w:val="single" w:sz="4" w:space="0" w:color="auto"/>
            </w:tcBorders>
            <w:vAlign w:val="center"/>
            <w:hideMark/>
          </w:tcPr>
          <w:p w14:paraId="552727EF" w14:textId="77777777" w:rsidR="00906701" w:rsidRDefault="00906701">
            <w:pPr>
              <w:jc w:val="center"/>
              <w:rPr>
                <w:rFonts w:eastAsia="Times New Roman"/>
                <w:b/>
                <w:bCs/>
                <w:color w:val="000000" w:themeColor="text1"/>
                <w:sz w:val="18"/>
                <w:szCs w:val="18"/>
                <w:lang w:eastAsia="id-ID"/>
              </w:rPr>
            </w:pPr>
            <w:r>
              <w:rPr>
                <w:rFonts w:eastAsia="Times New Roman"/>
                <w:b/>
                <w:bCs/>
                <w:color w:val="000000" w:themeColor="text1"/>
                <w:sz w:val="18"/>
                <w:szCs w:val="18"/>
                <w:lang w:eastAsia="id-ID"/>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3E373" w14:textId="77777777" w:rsidR="00906701" w:rsidRDefault="00906701">
            <w:pPr>
              <w:rPr>
                <w:rFonts w:eastAsia="Times New Roman"/>
                <w:b/>
                <w:bCs/>
                <w:color w:val="000000" w:themeColor="text1"/>
                <w:sz w:val="18"/>
                <w:szCs w:val="18"/>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994A3" w14:textId="77777777" w:rsidR="00906701" w:rsidRDefault="00906701">
            <w:pPr>
              <w:rPr>
                <w:rFonts w:eastAsia="Times New Roman"/>
                <w:b/>
                <w:bCs/>
                <w:color w:val="000000" w:themeColor="text1"/>
                <w:sz w:val="18"/>
                <w:szCs w:val="18"/>
                <w:lang w:eastAsia="id-ID"/>
              </w:rPr>
            </w:pPr>
          </w:p>
        </w:tc>
      </w:tr>
      <w:tr w:rsidR="00906701" w14:paraId="1F8E44B2" w14:textId="77777777" w:rsidTr="00906701">
        <w:trPr>
          <w:trHeight w:val="300"/>
          <w:jc w:val="center"/>
        </w:trPr>
        <w:tc>
          <w:tcPr>
            <w:tcW w:w="316" w:type="dxa"/>
            <w:vMerge w:val="restart"/>
            <w:tcBorders>
              <w:top w:val="nil"/>
              <w:left w:val="single" w:sz="4" w:space="0" w:color="auto"/>
              <w:bottom w:val="single" w:sz="4" w:space="0" w:color="auto"/>
              <w:right w:val="single" w:sz="4" w:space="0" w:color="auto"/>
            </w:tcBorders>
            <w:noWrap/>
            <w:hideMark/>
          </w:tcPr>
          <w:p w14:paraId="0A14DD3C"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1</w:t>
            </w:r>
          </w:p>
        </w:tc>
        <w:tc>
          <w:tcPr>
            <w:tcW w:w="1664" w:type="dxa"/>
            <w:tcBorders>
              <w:top w:val="nil"/>
              <w:left w:val="nil"/>
              <w:bottom w:val="single" w:sz="4" w:space="0" w:color="auto"/>
              <w:right w:val="single" w:sz="4" w:space="0" w:color="auto"/>
            </w:tcBorders>
            <w:hideMark/>
          </w:tcPr>
          <w:p w14:paraId="5D77F061"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(Constant)</w:t>
            </w:r>
          </w:p>
        </w:tc>
        <w:tc>
          <w:tcPr>
            <w:tcW w:w="850" w:type="dxa"/>
            <w:tcBorders>
              <w:top w:val="nil"/>
              <w:left w:val="nil"/>
              <w:bottom w:val="single" w:sz="4" w:space="0" w:color="auto"/>
              <w:right w:val="single" w:sz="4" w:space="0" w:color="auto"/>
            </w:tcBorders>
            <w:noWrap/>
            <w:hideMark/>
          </w:tcPr>
          <w:p w14:paraId="5D4DB22C"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2,765</w:t>
            </w:r>
          </w:p>
        </w:tc>
        <w:tc>
          <w:tcPr>
            <w:tcW w:w="1134" w:type="dxa"/>
            <w:tcBorders>
              <w:top w:val="nil"/>
              <w:left w:val="nil"/>
              <w:bottom w:val="single" w:sz="4" w:space="0" w:color="auto"/>
              <w:right w:val="single" w:sz="4" w:space="0" w:color="auto"/>
            </w:tcBorders>
            <w:noWrap/>
            <w:hideMark/>
          </w:tcPr>
          <w:p w14:paraId="08B92245"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0,295</w:t>
            </w:r>
          </w:p>
        </w:tc>
        <w:tc>
          <w:tcPr>
            <w:tcW w:w="1276" w:type="dxa"/>
            <w:tcBorders>
              <w:top w:val="nil"/>
              <w:left w:val="nil"/>
              <w:bottom w:val="single" w:sz="4" w:space="0" w:color="auto"/>
              <w:right w:val="single" w:sz="4" w:space="0" w:color="auto"/>
            </w:tcBorders>
            <w:hideMark/>
          </w:tcPr>
          <w:p w14:paraId="41647434"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 </w:t>
            </w:r>
          </w:p>
        </w:tc>
        <w:tc>
          <w:tcPr>
            <w:tcW w:w="851" w:type="dxa"/>
            <w:tcBorders>
              <w:top w:val="nil"/>
              <w:left w:val="nil"/>
              <w:bottom w:val="single" w:sz="4" w:space="0" w:color="auto"/>
              <w:right w:val="single" w:sz="4" w:space="0" w:color="auto"/>
            </w:tcBorders>
            <w:noWrap/>
            <w:hideMark/>
          </w:tcPr>
          <w:p w14:paraId="45CABF24"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9,358</w:t>
            </w:r>
          </w:p>
        </w:tc>
        <w:tc>
          <w:tcPr>
            <w:tcW w:w="708" w:type="dxa"/>
            <w:tcBorders>
              <w:top w:val="nil"/>
              <w:left w:val="nil"/>
              <w:bottom w:val="single" w:sz="4" w:space="0" w:color="auto"/>
              <w:right w:val="single" w:sz="4" w:space="0" w:color="auto"/>
            </w:tcBorders>
            <w:noWrap/>
            <w:hideMark/>
          </w:tcPr>
          <w:p w14:paraId="0E13902A"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0,000</w:t>
            </w:r>
          </w:p>
        </w:tc>
      </w:tr>
      <w:tr w:rsidR="00906701" w14:paraId="3F27180C" w14:textId="77777777" w:rsidTr="009067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2FEE254D" w14:textId="77777777" w:rsidR="00906701" w:rsidRDefault="00906701">
            <w:pPr>
              <w:rPr>
                <w:rFonts w:eastAsia="Times New Roman"/>
                <w:color w:val="000000" w:themeColor="text1"/>
                <w:sz w:val="18"/>
                <w:szCs w:val="18"/>
                <w:lang w:eastAsia="id-ID"/>
              </w:rPr>
            </w:pPr>
          </w:p>
        </w:tc>
        <w:tc>
          <w:tcPr>
            <w:tcW w:w="1664" w:type="dxa"/>
            <w:tcBorders>
              <w:top w:val="nil"/>
              <w:left w:val="nil"/>
              <w:bottom w:val="single" w:sz="4" w:space="0" w:color="auto"/>
              <w:right w:val="single" w:sz="4" w:space="0" w:color="auto"/>
            </w:tcBorders>
            <w:hideMark/>
          </w:tcPr>
          <w:p w14:paraId="5E19BD22"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ERM Disclosure</w:t>
            </w:r>
          </w:p>
        </w:tc>
        <w:tc>
          <w:tcPr>
            <w:tcW w:w="850" w:type="dxa"/>
            <w:tcBorders>
              <w:top w:val="nil"/>
              <w:left w:val="nil"/>
              <w:bottom w:val="single" w:sz="4" w:space="0" w:color="auto"/>
              <w:right w:val="single" w:sz="4" w:space="0" w:color="auto"/>
            </w:tcBorders>
            <w:noWrap/>
            <w:hideMark/>
          </w:tcPr>
          <w:p w14:paraId="1C79AA1B"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2,173</w:t>
            </w:r>
          </w:p>
        </w:tc>
        <w:tc>
          <w:tcPr>
            <w:tcW w:w="1134" w:type="dxa"/>
            <w:tcBorders>
              <w:top w:val="nil"/>
              <w:left w:val="nil"/>
              <w:bottom w:val="single" w:sz="4" w:space="0" w:color="auto"/>
              <w:right w:val="single" w:sz="4" w:space="0" w:color="auto"/>
            </w:tcBorders>
            <w:noWrap/>
            <w:hideMark/>
          </w:tcPr>
          <w:p w14:paraId="027F7EBE"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0,668</w:t>
            </w:r>
          </w:p>
        </w:tc>
        <w:tc>
          <w:tcPr>
            <w:tcW w:w="1276" w:type="dxa"/>
            <w:tcBorders>
              <w:top w:val="nil"/>
              <w:left w:val="nil"/>
              <w:bottom w:val="single" w:sz="4" w:space="0" w:color="auto"/>
              <w:right w:val="single" w:sz="4" w:space="0" w:color="auto"/>
            </w:tcBorders>
            <w:noWrap/>
            <w:hideMark/>
          </w:tcPr>
          <w:p w14:paraId="702DE396"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0,017</w:t>
            </w:r>
          </w:p>
        </w:tc>
        <w:tc>
          <w:tcPr>
            <w:tcW w:w="851" w:type="dxa"/>
            <w:tcBorders>
              <w:top w:val="nil"/>
              <w:left w:val="nil"/>
              <w:bottom w:val="single" w:sz="4" w:space="0" w:color="auto"/>
              <w:right w:val="single" w:sz="4" w:space="0" w:color="auto"/>
            </w:tcBorders>
            <w:noWrap/>
            <w:hideMark/>
          </w:tcPr>
          <w:p w14:paraId="2B80E3E9"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3,259</w:t>
            </w:r>
          </w:p>
        </w:tc>
        <w:tc>
          <w:tcPr>
            <w:tcW w:w="708" w:type="dxa"/>
            <w:tcBorders>
              <w:top w:val="nil"/>
              <w:left w:val="nil"/>
              <w:bottom w:val="single" w:sz="4" w:space="0" w:color="auto"/>
              <w:right w:val="single" w:sz="4" w:space="0" w:color="auto"/>
            </w:tcBorders>
            <w:noWrap/>
            <w:hideMark/>
          </w:tcPr>
          <w:p w14:paraId="0AB43A23"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0,006</w:t>
            </w:r>
          </w:p>
        </w:tc>
      </w:tr>
      <w:tr w:rsidR="00906701" w14:paraId="33F17709" w14:textId="77777777" w:rsidTr="00906701">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59D25B33" w14:textId="77777777" w:rsidR="00906701" w:rsidRDefault="00906701">
            <w:pPr>
              <w:rPr>
                <w:rFonts w:eastAsia="Times New Roman"/>
                <w:color w:val="000000" w:themeColor="text1"/>
                <w:sz w:val="18"/>
                <w:szCs w:val="18"/>
                <w:lang w:eastAsia="id-ID"/>
              </w:rPr>
            </w:pPr>
          </w:p>
        </w:tc>
        <w:tc>
          <w:tcPr>
            <w:tcW w:w="1664" w:type="dxa"/>
            <w:tcBorders>
              <w:top w:val="nil"/>
              <w:left w:val="nil"/>
              <w:bottom w:val="single" w:sz="4" w:space="0" w:color="auto"/>
              <w:right w:val="single" w:sz="4" w:space="0" w:color="auto"/>
            </w:tcBorders>
            <w:hideMark/>
          </w:tcPr>
          <w:p w14:paraId="7601A15F"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Intellectual Capital</w:t>
            </w:r>
          </w:p>
        </w:tc>
        <w:tc>
          <w:tcPr>
            <w:tcW w:w="850" w:type="dxa"/>
            <w:tcBorders>
              <w:top w:val="nil"/>
              <w:left w:val="nil"/>
              <w:bottom w:val="single" w:sz="4" w:space="0" w:color="auto"/>
              <w:right w:val="single" w:sz="4" w:space="0" w:color="auto"/>
            </w:tcBorders>
            <w:noWrap/>
            <w:hideMark/>
          </w:tcPr>
          <w:p w14:paraId="37989E4B"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0,004</w:t>
            </w:r>
          </w:p>
        </w:tc>
        <w:tc>
          <w:tcPr>
            <w:tcW w:w="1134" w:type="dxa"/>
            <w:tcBorders>
              <w:top w:val="nil"/>
              <w:left w:val="nil"/>
              <w:bottom w:val="single" w:sz="4" w:space="0" w:color="auto"/>
              <w:right w:val="single" w:sz="4" w:space="0" w:color="auto"/>
            </w:tcBorders>
            <w:noWrap/>
            <w:hideMark/>
          </w:tcPr>
          <w:p w14:paraId="74FD628F"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0,006</w:t>
            </w:r>
          </w:p>
        </w:tc>
        <w:tc>
          <w:tcPr>
            <w:tcW w:w="1276" w:type="dxa"/>
            <w:tcBorders>
              <w:top w:val="nil"/>
              <w:left w:val="nil"/>
              <w:bottom w:val="single" w:sz="4" w:space="0" w:color="auto"/>
              <w:right w:val="single" w:sz="4" w:space="0" w:color="auto"/>
            </w:tcBorders>
            <w:noWrap/>
            <w:hideMark/>
          </w:tcPr>
          <w:p w14:paraId="37BAF472"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0,041</w:t>
            </w:r>
          </w:p>
        </w:tc>
        <w:tc>
          <w:tcPr>
            <w:tcW w:w="851" w:type="dxa"/>
            <w:tcBorders>
              <w:top w:val="nil"/>
              <w:left w:val="nil"/>
              <w:bottom w:val="single" w:sz="4" w:space="0" w:color="auto"/>
              <w:right w:val="single" w:sz="4" w:space="0" w:color="auto"/>
            </w:tcBorders>
            <w:noWrap/>
            <w:hideMark/>
          </w:tcPr>
          <w:p w14:paraId="1A4093DB"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0,632</w:t>
            </w:r>
          </w:p>
        </w:tc>
        <w:tc>
          <w:tcPr>
            <w:tcW w:w="708" w:type="dxa"/>
            <w:tcBorders>
              <w:top w:val="nil"/>
              <w:left w:val="nil"/>
              <w:bottom w:val="single" w:sz="4" w:space="0" w:color="auto"/>
              <w:right w:val="single" w:sz="4" w:space="0" w:color="auto"/>
            </w:tcBorders>
            <w:noWrap/>
            <w:hideMark/>
          </w:tcPr>
          <w:p w14:paraId="3A74F540" w14:textId="77777777" w:rsidR="00906701" w:rsidRDefault="00906701">
            <w:pPr>
              <w:jc w:val="right"/>
              <w:rPr>
                <w:rFonts w:eastAsia="Times New Roman"/>
                <w:color w:val="000000" w:themeColor="text1"/>
                <w:sz w:val="18"/>
                <w:szCs w:val="18"/>
                <w:lang w:eastAsia="id-ID"/>
              </w:rPr>
            </w:pPr>
            <w:r>
              <w:rPr>
                <w:rFonts w:eastAsia="Times New Roman"/>
                <w:color w:val="000000" w:themeColor="text1"/>
                <w:sz w:val="18"/>
                <w:szCs w:val="18"/>
                <w:lang w:eastAsia="id-ID"/>
              </w:rPr>
              <w:t>0,528</w:t>
            </w:r>
          </w:p>
        </w:tc>
      </w:tr>
      <w:tr w:rsidR="00906701" w14:paraId="5FF268B7" w14:textId="77777777" w:rsidTr="00906701">
        <w:trPr>
          <w:trHeight w:val="300"/>
          <w:jc w:val="center"/>
        </w:trPr>
        <w:tc>
          <w:tcPr>
            <w:tcW w:w="6799" w:type="dxa"/>
            <w:gridSpan w:val="7"/>
            <w:hideMark/>
          </w:tcPr>
          <w:p w14:paraId="5170657E" w14:textId="77777777" w:rsidR="00906701" w:rsidRDefault="00906701">
            <w:pPr>
              <w:rPr>
                <w:rFonts w:eastAsia="Times New Roman"/>
                <w:color w:val="000000" w:themeColor="text1"/>
                <w:sz w:val="18"/>
                <w:szCs w:val="18"/>
                <w:lang w:eastAsia="id-ID"/>
              </w:rPr>
            </w:pPr>
            <w:r>
              <w:rPr>
                <w:rFonts w:eastAsia="Times New Roman"/>
                <w:color w:val="000000" w:themeColor="text1"/>
                <w:sz w:val="18"/>
                <w:szCs w:val="18"/>
                <w:lang w:eastAsia="id-ID"/>
              </w:rPr>
              <w:t>a. Dependent Variable: Nilai Perusahaan</w:t>
            </w:r>
          </w:p>
        </w:tc>
      </w:tr>
    </w:tbl>
    <w:bookmarkEnd w:id="1"/>
    <w:p w14:paraId="0A03715B" w14:textId="77777777" w:rsidR="00DF7FE6" w:rsidRDefault="00906701" w:rsidP="00A45BEC">
      <w:pPr>
        <w:jc w:val="both"/>
        <w:rPr>
          <w:color w:val="000000" w:themeColor="text1"/>
        </w:rPr>
      </w:pPr>
      <w:r>
        <w:rPr>
          <w:color w:val="000000" w:themeColor="text1"/>
        </w:rPr>
        <w:t xml:space="preserve">         </w:t>
      </w:r>
      <w:r w:rsidR="00DF7FE6">
        <w:rPr>
          <w:color w:val="000000" w:themeColor="text1"/>
          <w:lang w:val="en"/>
        </w:rPr>
        <w:t>Source: data processed 2021</w:t>
      </w:r>
    </w:p>
    <w:p w14:paraId="41207345" w14:textId="77777777" w:rsidR="00DF7FE6" w:rsidRDefault="00DF7FE6" w:rsidP="00A45BEC">
      <w:pPr>
        <w:ind w:firstLine="720"/>
        <w:jc w:val="both"/>
        <w:rPr>
          <w:color w:val="000000" w:themeColor="text1"/>
        </w:rPr>
      </w:pPr>
      <w:r>
        <w:rPr>
          <w:color w:val="000000" w:themeColor="text1"/>
          <w:lang w:val="en"/>
        </w:rPr>
        <w:t xml:space="preserve">From the results of the analysis test contained in the table above, it is known that for </w:t>
      </w:r>
      <w:r>
        <w:rPr>
          <w:i/>
          <w:iCs/>
          <w:color w:val="000000" w:themeColor="text1"/>
          <w:lang w:val="en"/>
        </w:rPr>
        <w:t>the ERM Disclosure</w:t>
      </w:r>
      <w:r>
        <w:rPr>
          <w:lang w:val="en"/>
        </w:rPr>
        <w:t xml:space="preserve"> variable</w:t>
      </w:r>
      <w:r>
        <w:rPr>
          <w:color w:val="000000" w:themeColor="text1"/>
          <w:lang w:val="en"/>
        </w:rPr>
        <w:t xml:space="preserve"> (X1)</w:t>
      </w:r>
      <w:r>
        <w:rPr>
          <w:lang w:val="en"/>
        </w:rPr>
        <w:t xml:space="preserve">has a positive and significant influence on the company </w:t>
      </w:r>
      <w:proofErr w:type="spellStart"/>
      <w:r>
        <w:rPr>
          <w:lang w:val="en"/>
        </w:rPr>
        <w:t>value</w:t>
      </w:r>
      <w:r>
        <w:rPr>
          <w:color w:val="000000" w:themeColor="text1"/>
          <w:lang w:val="en"/>
        </w:rPr>
        <w:t>variable</w:t>
      </w:r>
      <w:proofErr w:type="spellEnd"/>
      <w:r>
        <w:rPr>
          <w:color w:val="000000" w:themeColor="text1"/>
          <w:lang w:val="en"/>
        </w:rPr>
        <w:t xml:space="preserve"> (Y), the results can be known from the acquisition of </w:t>
      </w:r>
      <w:r>
        <w:rPr>
          <w:lang w:val="en"/>
        </w:rPr>
        <w:t xml:space="preserve">the regression coefficient value B of </w:t>
      </w:r>
      <w:r>
        <w:rPr>
          <w:color w:val="000000" w:themeColor="text1"/>
          <w:lang w:val="en"/>
        </w:rPr>
        <w:t>2.173</w:t>
      </w:r>
      <w:r>
        <w:rPr>
          <w:lang w:val="en"/>
        </w:rPr>
        <w:t xml:space="preserve"> </w:t>
      </w:r>
      <w:r>
        <w:rPr>
          <w:color w:val="000000" w:themeColor="text1"/>
          <w:lang w:val="en"/>
        </w:rPr>
        <w:t xml:space="preserve"> with a significance of 0.006 smaller than 0.05, so it can be known that</w:t>
      </w:r>
      <w:r>
        <w:rPr>
          <w:lang w:val="en"/>
        </w:rPr>
        <w:t xml:space="preserve"> the first hypothesis in this study is accepted. </w:t>
      </w:r>
      <w:proofErr w:type="spellStart"/>
      <w:r>
        <w:rPr>
          <w:color w:val="000000" w:themeColor="text1"/>
          <w:lang w:val="en"/>
        </w:rPr>
        <w:t>For</w:t>
      </w:r>
      <w:r>
        <w:rPr>
          <w:lang w:val="en"/>
        </w:rPr>
        <w:t>the</w:t>
      </w:r>
      <w:proofErr w:type="spellEnd"/>
      <w:r>
        <w:rPr>
          <w:lang w:val="en"/>
        </w:rPr>
        <w:t xml:space="preserve"> results of </w:t>
      </w:r>
      <w:r>
        <w:rPr>
          <w:i/>
          <w:iCs/>
          <w:color w:val="000000" w:themeColor="text1"/>
          <w:lang w:val="en"/>
        </w:rPr>
        <w:t xml:space="preserve">the Intellectual </w:t>
      </w:r>
      <w:proofErr w:type="gramStart"/>
      <w:r>
        <w:rPr>
          <w:i/>
          <w:iCs/>
          <w:color w:val="000000" w:themeColor="text1"/>
          <w:lang w:val="en"/>
        </w:rPr>
        <w:t xml:space="preserve">Capital </w:t>
      </w:r>
      <w:r>
        <w:rPr>
          <w:lang w:val="en"/>
        </w:rPr>
        <w:t xml:space="preserve"> </w:t>
      </w:r>
      <w:r>
        <w:rPr>
          <w:color w:val="000000" w:themeColor="text1"/>
          <w:lang w:val="en"/>
        </w:rPr>
        <w:t>variable</w:t>
      </w:r>
      <w:proofErr w:type="gramEnd"/>
      <w:r>
        <w:rPr>
          <w:color w:val="000000" w:themeColor="text1"/>
          <w:lang w:val="en"/>
        </w:rPr>
        <w:t xml:space="preserve"> analysis test </w:t>
      </w:r>
      <w:r>
        <w:rPr>
          <w:lang w:val="en"/>
        </w:rPr>
        <w:t xml:space="preserve"> </w:t>
      </w:r>
      <w:r>
        <w:rPr>
          <w:color w:val="000000" w:themeColor="text1"/>
          <w:lang w:val="en"/>
        </w:rPr>
        <w:t xml:space="preserve">on </w:t>
      </w:r>
      <w:r>
        <w:rPr>
          <w:lang w:val="en"/>
        </w:rPr>
        <w:t xml:space="preserve"> </w:t>
      </w:r>
      <w:r>
        <w:rPr>
          <w:color w:val="000000" w:themeColor="text1"/>
          <w:lang w:val="en"/>
        </w:rPr>
        <w:t xml:space="preserve">the company can be said to </w:t>
      </w:r>
      <w:r>
        <w:rPr>
          <w:lang w:val="en"/>
        </w:rPr>
        <w:t xml:space="preserve">have an insignificant </w:t>
      </w:r>
      <w:r>
        <w:rPr>
          <w:color w:val="000000" w:themeColor="text1"/>
          <w:lang w:val="en"/>
        </w:rPr>
        <w:t xml:space="preserve">effect, </w:t>
      </w:r>
      <w:r>
        <w:rPr>
          <w:lang w:val="en"/>
        </w:rPr>
        <w:t xml:space="preserve">it can be seen from the value </w:t>
      </w:r>
      <w:r>
        <w:rPr>
          <w:color w:val="000000" w:themeColor="text1"/>
          <w:lang w:val="en"/>
        </w:rPr>
        <w:t>obtained, namely for the value of t obtained by 0.632 with a significance of 0.528. It can be said that there is a rejection of hypothesis two.</w:t>
      </w:r>
    </w:p>
    <w:p w14:paraId="14F2F549" w14:textId="77777777" w:rsidR="00DF7FE6" w:rsidRDefault="00DF7FE6" w:rsidP="00A45BEC">
      <w:pPr>
        <w:jc w:val="both"/>
        <w:rPr>
          <w:b/>
          <w:sz w:val="22"/>
          <w:lang w:val="en-US"/>
        </w:rPr>
      </w:pPr>
    </w:p>
    <w:p w14:paraId="47B8B57B" w14:textId="45719930" w:rsidR="00DF7FE6" w:rsidRDefault="00DF7FE6" w:rsidP="00A45BEC">
      <w:pPr>
        <w:spacing w:line="360" w:lineRule="auto"/>
        <w:jc w:val="both"/>
        <w:rPr>
          <w:b/>
          <w:bCs/>
          <w:color w:val="000000" w:themeColor="text1"/>
          <w:lang w:val="en-US"/>
        </w:rPr>
      </w:pPr>
      <w:r>
        <w:rPr>
          <w:b/>
          <w:bCs/>
          <w:color w:val="000000" w:themeColor="text1"/>
          <w:lang w:val="en"/>
        </w:rPr>
        <w:t xml:space="preserve">The results of </w:t>
      </w:r>
      <w:r>
        <w:rPr>
          <w:b/>
          <w:color w:val="000000" w:themeColor="text1"/>
          <w:lang w:val="en"/>
        </w:rPr>
        <w:t xml:space="preserve">the third </w:t>
      </w:r>
      <w:r>
        <w:rPr>
          <w:lang w:val="en"/>
        </w:rPr>
        <w:t xml:space="preserve">hypothesis analysis </w:t>
      </w:r>
      <w:r>
        <w:rPr>
          <w:b/>
          <w:bCs/>
          <w:color w:val="000000" w:themeColor="text1"/>
          <w:lang w:val="en"/>
        </w:rPr>
        <w:t>test:</w:t>
      </w:r>
    </w:p>
    <w:p w14:paraId="7896FA13" w14:textId="68C7FE86" w:rsidR="00FC7A9A" w:rsidRDefault="00DF7FE6" w:rsidP="00FC7A9A">
      <w:pPr>
        <w:jc w:val="both"/>
        <w:rPr>
          <w:b/>
          <w:bCs/>
          <w:color w:val="000000" w:themeColor="text1"/>
        </w:rPr>
      </w:pPr>
      <w:r>
        <w:rPr>
          <w:b/>
          <w:bCs/>
          <w:color w:val="000000" w:themeColor="text1"/>
          <w:lang w:val="en"/>
        </w:rPr>
        <w:t xml:space="preserve">                       Table</w:t>
      </w:r>
      <w:r w:rsidR="004B6C5B">
        <w:rPr>
          <w:b/>
          <w:bCs/>
          <w:color w:val="000000" w:themeColor="text1"/>
          <w:lang w:val="en"/>
        </w:rPr>
        <w:t xml:space="preserve"> </w:t>
      </w:r>
      <w:r>
        <w:rPr>
          <w:b/>
          <w:bCs/>
          <w:color w:val="000000" w:themeColor="text1"/>
          <w:lang w:val="en"/>
        </w:rPr>
        <w:t>7</w:t>
      </w:r>
      <w:r w:rsidR="004B6C5B">
        <w:rPr>
          <w:b/>
          <w:bCs/>
          <w:color w:val="000000" w:themeColor="text1"/>
          <w:lang w:val="en"/>
        </w:rPr>
        <w:t>.</w:t>
      </w:r>
      <w:r>
        <w:rPr>
          <w:b/>
          <w:color w:val="000000" w:themeColor="text1"/>
          <w:lang w:val="en"/>
        </w:rPr>
        <w:t xml:space="preserve"> First Test Result</w:t>
      </w:r>
    </w:p>
    <w:tbl>
      <w:tblPr>
        <w:tblW w:w="5080" w:type="dxa"/>
        <w:jc w:val="center"/>
        <w:tblLook w:val="04A0" w:firstRow="1" w:lastRow="0" w:firstColumn="1" w:lastColumn="0" w:noHBand="0" w:noVBand="1"/>
      </w:tblPr>
      <w:tblGrid>
        <w:gridCol w:w="960"/>
        <w:gridCol w:w="960"/>
        <w:gridCol w:w="960"/>
        <w:gridCol w:w="960"/>
        <w:gridCol w:w="1240"/>
      </w:tblGrid>
      <w:tr w:rsidR="00FC7A9A" w14:paraId="282E9675" w14:textId="77777777" w:rsidTr="00FC7A9A">
        <w:trPr>
          <w:trHeight w:val="54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5304ACD4"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Model</w:t>
            </w:r>
          </w:p>
        </w:tc>
        <w:tc>
          <w:tcPr>
            <w:tcW w:w="960" w:type="dxa"/>
            <w:tcBorders>
              <w:top w:val="single" w:sz="4" w:space="0" w:color="auto"/>
              <w:left w:val="nil"/>
              <w:bottom w:val="single" w:sz="4" w:space="0" w:color="auto"/>
              <w:right w:val="single" w:sz="4" w:space="0" w:color="auto"/>
            </w:tcBorders>
            <w:vAlign w:val="center"/>
            <w:hideMark/>
          </w:tcPr>
          <w:p w14:paraId="7567250B"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R</w:t>
            </w:r>
          </w:p>
        </w:tc>
        <w:tc>
          <w:tcPr>
            <w:tcW w:w="960" w:type="dxa"/>
            <w:tcBorders>
              <w:top w:val="single" w:sz="4" w:space="0" w:color="auto"/>
              <w:left w:val="nil"/>
              <w:bottom w:val="single" w:sz="4" w:space="0" w:color="auto"/>
              <w:right w:val="single" w:sz="4" w:space="0" w:color="auto"/>
            </w:tcBorders>
            <w:vAlign w:val="center"/>
            <w:hideMark/>
          </w:tcPr>
          <w:p w14:paraId="110503A5"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R Square</w:t>
            </w:r>
          </w:p>
        </w:tc>
        <w:tc>
          <w:tcPr>
            <w:tcW w:w="960" w:type="dxa"/>
            <w:tcBorders>
              <w:top w:val="single" w:sz="4" w:space="0" w:color="auto"/>
              <w:left w:val="nil"/>
              <w:bottom w:val="single" w:sz="4" w:space="0" w:color="auto"/>
              <w:right w:val="single" w:sz="4" w:space="0" w:color="auto"/>
            </w:tcBorders>
            <w:vAlign w:val="center"/>
            <w:hideMark/>
          </w:tcPr>
          <w:p w14:paraId="0869931B"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Adjusted R Square</w:t>
            </w:r>
          </w:p>
        </w:tc>
        <w:tc>
          <w:tcPr>
            <w:tcW w:w="1240" w:type="dxa"/>
            <w:tcBorders>
              <w:top w:val="single" w:sz="4" w:space="0" w:color="auto"/>
              <w:left w:val="nil"/>
              <w:bottom w:val="single" w:sz="4" w:space="0" w:color="auto"/>
              <w:right w:val="single" w:sz="4" w:space="0" w:color="auto"/>
            </w:tcBorders>
            <w:vAlign w:val="center"/>
            <w:hideMark/>
          </w:tcPr>
          <w:p w14:paraId="553D3532"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Std. Error of the Estimate</w:t>
            </w:r>
          </w:p>
        </w:tc>
      </w:tr>
      <w:tr w:rsidR="00FC7A9A" w14:paraId="65744417" w14:textId="77777777" w:rsidTr="00FC7A9A">
        <w:trPr>
          <w:trHeight w:val="300"/>
          <w:jc w:val="center"/>
        </w:trPr>
        <w:tc>
          <w:tcPr>
            <w:tcW w:w="960" w:type="dxa"/>
            <w:tcBorders>
              <w:top w:val="nil"/>
              <w:left w:val="single" w:sz="4" w:space="0" w:color="auto"/>
              <w:bottom w:val="single" w:sz="4" w:space="0" w:color="auto"/>
              <w:right w:val="single" w:sz="4" w:space="0" w:color="auto"/>
            </w:tcBorders>
            <w:noWrap/>
            <w:hideMark/>
          </w:tcPr>
          <w:p w14:paraId="1E4ED16F" w14:textId="77777777" w:rsidR="00FC7A9A" w:rsidRDefault="00FC7A9A">
            <w:pPr>
              <w:rPr>
                <w:rFonts w:eastAsia="Times New Roman"/>
                <w:color w:val="000000"/>
                <w:sz w:val="18"/>
                <w:szCs w:val="18"/>
                <w:lang w:eastAsia="id-ID"/>
              </w:rPr>
            </w:pPr>
            <w:r>
              <w:rPr>
                <w:rFonts w:eastAsia="Times New Roman"/>
                <w:color w:val="000000"/>
                <w:sz w:val="18"/>
                <w:szCs w:val="18"/>
                <w:lang w:eastAsia="id-ID"/>
              </w:rPr>
              <w:t>1</w:t>
            </w:r>
          </w:p>
        </w:tc>
        <w:tc>
          <w:tcPr>
            <w:tcW w:w="960" w:type="dxa"/>
            <w:tcBorders>
              <w:top w:val="nil"/>
              <w:left w:val="nil"/>
              <w:bottom w:val="single" w:sz="4" w:space="0" w:color="auto"/>
              <w:right w:val="single" w:sz="4" w:space="0" w:color="auto"/>
            </w:tcBorders>
            <w:noWrap/>
            <w:hideMark/>
          </w:tcPr>
          <w:p w14:paraId="50C55B60"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0,069</w:t>
            </w:r>
            <w:r>
              <w:rPr>
                <w:rFonts w:eastAsia="Times New Roman"/>
                <w:color w:val="000000"/>
                <w:sz w:val="18"/>
                <w:szCs w:val="18"/>
                <w:vertAlign w:val="superscript"/>
                <w:lang w:eastAsia="id-ID"/>
              </w:rPr>
              <w:t>a</w:t>
            </w:r>
          </w:p>
        </w:tc>
        <w:tc>
          <w:tcPr>
            <w:tcW w:w="960" w:type="dxa"/>
            <w:tcBorders>
              <w:top w:val="nil"/>
              <w:left w:val="nil"/>
              <w:bottom w:val="single" w:sz="4" w:space="0" w:color="auto"/>
              <w:right w:val="single" w:sz="4" w:space="0" w:color="auto"/>
            </w:tcBorders>
            <w:noWrap/>
            <w:hideMark/>
          </w:tcPr>
          <w:p w14:paraId="3E4F59BA"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0,005</w:t>
            </w:r>
          </w:p>
        </w:tc>
        <w:tc>
          <w:tcPr>
            <w:tcW w:w="960" w:type="dxa"/>
            <w:tcBorders>
              <w:top w:val="nil"/>
              <w:left w:val="nil"/>
              <w:bottom w:val="single" w:sz="4" w:space="0" w:color="auto"/>
              <w:right w:val="single" w:sz="4" w:space="0" w:color="auto"/>
            </w:tcBorders>
            <w:noWrap/>
            <w:hideMark/>
          </w:tcPr>
          <w:p w14:paraId="053204F9"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0,001</w:t>
            </w:r>
          </w:p>
        </w:tc>
        <w:tc>
          <w:tcPr>
            <w:tcW w:w="1240" w:type="dxa"/>
            <w:tcBorders>
              <w:top w:val="nil"/>
              <w:left w:val="nil"/>
              <w:bottom w:val="single" w:sz="4" w:space="0" w:color="auto"/>
              <w:right w:val="single" w:sz="4" w:space="0" w:color="auto"/>
            </w:tcBorders>
            <w:noWrap/>
            <w:hideMark/>
          </w:tcPr>
          <w:p w14:paraId="6AF5741C"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1,98981</w:t>
            </w:r>
          </w:p>
        </w:tc>
      </w:tr>
    </w:tbl>
    <w:p w14:paraId="3865122E" w14:textId="6B573C3E" w:rsidR="00FC7A9A" w:rsidRDefault="00FC7A9A" w:rsidP="00FC7A9A">
      <w:pPr>
        <w:spacing w:line="360" w:lineRule="auto"/>
        <w:jc w:val="both"/>
        <w:rPr>
          <w:color w:val="000000" w:themeColor="text1"/>
        </w:rPr>
      </w:pPr>
      <w:r>
        <w:rPr>
          <w:color w:val="000000" w:themeColor="text1"/>
        </w:rPr>
        <w:t xml:space="preserve">                       </w:t>
      </w:r>
      <w:r w:rsidR="00DF7FE6">
        <w:rPr>
          <w:color w:val="000000" w:themeColor="text1"/>
          <w:lang w:val="en"/>
        </w:rPr>
        <w:t xml:space="preserve">Source: data </w:t>
      </w:r>
      <w:proofErr w:type="gramStart"/>
      <w:r w:rsidR="00DF7FE6">
        <w:rPr>
          <w:color w:val="000000" w:themeColor="text1"/>
          <w:lang w:val="en"/>
        </w:rPr>
        <w:t xml:space="preserve">processed </w:t>
      </w:r>
      <w:r>
        <w:rPr>
          <w:color w:val="000000" w:themeColor="text1"/>
        </w:rPr>
        <w:t xml:space="preserve"> 2021</w:t>
      </w:r>
      <w:proofErr w:type="gramEnd"/>
    </w:p>
    <w:p w14:paraId="187730CD" w14:textId="49700789" w:rsidR="00FC7A9A" w:rsidRDefault="00FC7A9A" w:rsidP="00FC7A9A">
      <w:pPr>
        <w:jc w:val="both"/>
        <w:rPr>
          <w:b/>
          <w:bCs/>
          <w:color w:val="000000" w:themeColor="text1"/>
          <w:szCs w:val="24"/>
        </w:rPr>
      </w:pPr>
      <w:r>
        <w:rPr>
          <w:b/>
          <w:bCs/>
          <w:color w:val="000000" w:themeColor="text1"/>
          <w:szCs w:val="24"/>
        </w:rPr>
        <w:t xml:space="preserve">                        </w:t>
      </w:r>
      <w:r w:rsidR="00DF7FE6">
        <w:rPr>
          <w:b/>
          <w:bCs/>
          <w:color w:val="000000" w:themeColor="text1"/>
          <w:szCs w:val="24"/>
          <w:lang w:val="en"/>
        </w:rPr>
        <w:t>Table 8.</w:t>
      </w:r>
      <w:r w:rsidR="00DF7FE6">
        <w:rPr>
          <w:lang w:val="en"/>
        </w:rPr>
        <w:t xml:space="preserve"> </w:t>
      </w:r>
      <w:r w:rsidR="00DF7FE6">
        <w:rPr>
          <w:b/>
          <w:bCs/>
          <w:color w:val="000000" w:themeColor="text1"/>
          <w:szCs w:val="24"/>
          <w:lang w:val="en"/>
        </w:rPr>
        <w:t>Second Test Results</w:t>
      </w:r>
    </w:p>
    <w:tbl>
      <w:tblPr>
        <w:tblW w:w="5080" w:type="dxa"/>
        <w:jc w:val="center"/>
        <w:tblLook w:val="04A0" w:firstRow="1" w:lastRow="0" w:firstColumn="1" w:lastColumn="0" w:noHBand="0" w:noVBand="1"/>
      </w:tblPr>
      <w:tblGrid>
        <w:gridCol w:w="960"/>
        <w:gridCol w:w="960"/>
        <w:gridCol w:w="960"/>
        <w:gridCol w:w="960"/>
        <w:gridCol w:w="1240"/>
      </w:tblGrid>
      <w:tr w:rsidR="00FC7A9A" w14:paraId="0D412719" w14:textId="77777777" w:rsidTr="00FC7A9A">
        <w:trPr>
          <w:trHeight w:val="48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2F97E3E4"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Model</w:t>
            </w:r>
          </w:p>
        </w:tc>
        <w:tc>
          <w:tcPr>
            <w:tcW w:w="960" w:type="dxa"/>
            <w:tcBorders>
              <w:top w:val="single" w:sz="4" w:space="0" w:color="auto"/>
              <w:left w:val="nil"/>
              <w:bottom w:val="single" w:sz="4" w:space="0" w:color="auto"/>
              <w:right w:val="single" w:sz="4" w:space="0" w:color="auto"/>
            </w:tcBorders>
            <w:vAlign w:val="center"/>
            <w:hideMark/>
          </w:tcPr>
          <w:p w14:paraId="710E7D3D"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R</w:t>
            </w:r>
          </w:p>
        </w:tc>
        <w:tc>
          <w:tcPr>
            <w:tcW w:w="960" w:type="dxa"/>
            <w:tcBorders>
              <w:top w:val="single" w:sz="4" w:space="0" w:color="auto"/>
              <w:left w:val="nil"/>
              <w:bottom w:val="single" w:sz="4" w:space="0" w:color="auto"/>
              <w:right w:val="single" w:sz="4" w:space="0" w:color="auto"/>
            </w:tcBorders>
            <w:vAlign w:val="center"/>
            <w:hideMark/>
          </w:tcPr>
          <w:p w14:paraId="53E77E14"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R Square</w:t>
            </w:r>
          </w:p>
        </w:tc>
        <w:tc>
          <w:tcPr>
            <w:tcW w:w="960" w:type="dxa"/>
            <w:tcBorders>
              <w:top w:val="single" w:sz="4" w:space="0" w:color="auto"/>
              <w:left w:val="nil"/>
              <w:bottom w:val="single" w:sz="4" w:space="0" w:color="auto"/>
              <w:right w:val="single" w:sz="4" w:space="0" w:color="auto"/>
            </w:tcBorders>
            <w:vAlign w:val="center"/>
            <w:hideMark/>
          </w:tcPr>
          <w:p w14:paraId="72DC94E9"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Adjusted R Square</w:t>
            </w:r>
          </w:p>
        </w:tc>
        <w:tc>
          <w:tcPr>
            <w:tcW w:w="1240" w:type="dxa"/>
            <w:tcBorders>
              <w:top w:val="single" w:sz="4" w:space="0" w:color="auto"/>
              <w:left w:val="nil"/>
              <w:bottom w:val="single" w:sz="4" w:space="0" w:color="auto"/>
              <w:right w:val="single" w:sz="4" w:space="0" w:color="auto"/>
            </w:tcBorders>
            <w:vAlign w:val="center"/>
            <w:hideMark/>
          </w:tcPr>
          <w:p w14:paraId="1349B212" w14:textId="77777777" w:rsidR="00FC7A9A" w:rsidRDefault="00FC7A9A">
            <w:pPr>
              <w:jc w:val="center"/>
              <w:rPr>
                <w:rFonts w:eastAsia="Times New Roman"/>
                <w:b/>
                <w:bCs/>
                <w:color w:val="000000"/>
                <w:sz w:val="18"/>
                <w:szCs w:val="18"/>
                <w:lang w:eastAsia="id-ID"/>
              </w:rPr>
            </w:pPr>
            <w:r>
              <w:rPr>
                <w:rFonts w:eastAsia="Times New Roman"/>
                <w:b/>
                <w:bCs/>
                <w:color w:val="000000"/>
                <w:sz w:val="18"/>
                <w:szCs w:val="18"/>
                <w:lang w:eastAsia="id-ID"/>
              </w:rPr>
              <w:t>Std. Error of the Estimate</w:t>
            </w:r>
          </w:p>
        </w:tc>
      </w:tr>
      <w:tr w:rsidR="00FC7A9A" w14:paraId="6B3C085B" w14:textId="77777777" w:rsidTr="00FC7A9A">
        <w:trPr>
          <w:trHeight w:val="300"/>
          <w:jc w:val="center"/>
        </w:trPr>
        <w:tc>
          <w:tcPr>
            <w:tcW w:w="960" w:type="dxa"/>
            <w:tcBorders>
              <w:top w:val="nil"/>
              <w:left w:val="single" w:sz="4" w:space="0" w:color="auto"/>
              <w:bottom w:val="single" w:sz="4" w:space="0" w:color="auto"/>
              <w:right w:val="single" w:sz="4" w:space="0" w:color="auto"/>
            </w:tcBorders>
            <w:noWrap/>
            <w:hideMark/>
          </w:tcPr>
          <w:p w14:paraId="1785934C" w14:textId="77777777" w:rsidR="00FC7A9A" w:rsidRDefault="00FC7A9A">
            <w:pPr>
              <w:rPr>
                <w:rFonts w:eastAsia="Times New Roman"/>
                <w:color w:val="000000"/>
                <w:sz w:val="18"/>
                <w:szCs w:val="18"/>
                <w:lang w:eastAsia="id-ID"/>
              </w:rPr>
            </w:pPr>
            <w:r>
              <w:rPr>
                <w:rFonts w:eastAsia="Times New Roman"/>
                <w:color w:val="000000"/>
                <w:sz w:val="18"/>
                <w:szCs w:val="18"/>
                <w:lang w:eastAsia="id-ID"/>
              </w:rPr>
              <w:t>1</w:t>
            </w:r>
          </w:p>
        </w:tc>
        <w:tc>
          <w:tcPr>
            <w:tcW w:w="960" w:type="dxa"/>
            <w:tcBorders>
              <w:top w:val="nil"/>
              <w:left w:val="nil"/>
              <w:bottom w:val="single" w:sz="4" w:space="0" w:color="auto"/>
              <w:right w:val="single" w:sz="4" w:space="0" w:color="auto"/>
            </w:tcBorders>
            <w:noWrap/>
            <w:hideMark/>
          </w:tcPr>
          <w:p w14:paraId="7A707A56"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0,119</w:t>
            </w:r>
            <w:r>
              <w:rPr>
                <w:rFonts w:eastAsia="Times New Roman"/>
                <w:color w:val="000000"/>
                <w:sz w:val="18"/>
                <w:szCs w:val="18"/>
                <w:vertAlign w:val="superscript"/>
                <w:lang w:eastAsia="id-ID"/>
              </w:rPr>
              <w:t>a</w:t>
            </w:r>
          </w:p>
        </w:tc>
        <w:tc>
          <w:tcPr>
            <w:tcW w:w="960" w:type="dxa"/>
            <w:tcBorders>
              <w:top w:val="nil"/>
              <w:left w:val="nil"/>
              <w:bottom w:val="single" w:sz="4" w:space="0" w:color="auto"/>
              <w:right w:val="single" w:sz="4" w:space="0" w:color="auto"/>
            </w:tcBorders>
            <w:noWrap/>
            <w:hideMark/>
          </w:tcPr>
          <w:p w14:paraId="48122A21"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0,014</w:t>
            </w:r>
          </w:p>
        </w:tc>
        <w:tc>
          <w:tcPr>
            <w:tcW w:w="960" w:type="dxa"/>
            <w:tcBorders>
              <w:top w:val="nil"/>
              <w:left w:val="nil"/>
              <w:bottom w:val="single" w:sz="4" w:space="0" w:color="auto"/>
              <w:right w:val="single" w:sz="4" w:space="0" w:color="auto"/>
            </w:tcBorders>
            <w:noWrap/>
            <w:hideMark/>
          </w:tcPr>
          <w:p w14:paraId="7BE71B9C"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0,002</w:t>
            </w:r>
          </w:p>
        </w:tc>
        <w:tc>
          <w:tcPr>
            <w:tcW w:w="1240" w:type="dxa"/>
            <w:tcBorders>
              <w:top w:val="nil"/>
              <w:left w:val="nil"/>
              <w:bottom w:val="single" w:sz="4" w:space="0" w:color="auto"/>
              <w:right w:val="single" w:sz="4" w:space="0" w:color="auto"/>
            </w:tcBorders>
            <w:noWrap/>
            <w:hideMark/>
          </w:tcPr>
          <w:p w14:paraId="6C1B37E4" w14:textId="77777777" w:rsidR="00FC7A9A" w:rsidRDefault="00FC7A9A">
            <w:pPr>
              <w:jc w:val="right"/>
              <w:rPr>
                <w:rFonts w:eastAsia="Times New Roman"/>
                <w:color w:val="000000"/>
                <w:sz w:val="18"/>
                <w:szCs w:val="18"/>
                <w:lang w:eastAsia="id-ID"/>
              </w:rPr>
            </w:pPr>
            <w:r>
              <w:rPr>
                <w:rFonts w:eastAsia="Times New Roman"/>
                <w:color w:val="000000"/>
                <w:sz w:val="18"/>
                <w:szCs w:val="18"/>
                <w:lang w:eastAsia="id-ID"/>
              </w:rPr>
              <w:t>1,98862</w:t>
            </w:r>
          </w:p>
        </w:tc>
      </w:tr>
    </w:tbl>
    <w:p w14:paraId="79C941F6" w14:textId="77777777" w:rsidR="00DF7FE6" w:rsidRDefault="00FC7A9A" w:rsidP="00834765">
      <w:pPr>
        <w:spacing w:line="360" w:lineRule="auto"/>
        <w:jc w:val="both"/>
        <w:rPr>
          <w:color w:val="000000" w:themeColor="text1"/>
        </w:rPr>
      </w:pPr>
      <w:r>
        <w:rPr>
          <w:color w:val="000000" w:themeColor="text1"/>
        </w:rPr>
        <w:t xml:space="preserve">                       </w:t>
      </w:r>
      <w:r w:rsidR="00DF7FE6">
        <w:rPr>
          <w:color w:val="000000" w:themeColor="text1"/>
          <w:lang w:val="en"/>
        </w:rPr>
        <w:t>Source: data processed 2021</w:t>
      </w:r>
    </w:p>
    <w:p w14:paraId="38F46A3C" w14:textId="77777777" w:rsidR="00DF7FE6" w:rsidRDefault="00DF7FE6" w:rsidP="00834765">
      <w:pPr>
        <w:ind w:firstLine="720"/>
        <w:jc w:val="both"/>
        <w:rPr>
          <w:color w:val="000000" w:themeColor="text1"/>
          <w:lang w:val="en-US"/>
        </w:rPr>
      </w:pPr>
      <w:r>
        <w:rPr>
          <w:color w:val="000000" w:themeColor="text1"/>
          <w:lang w:val="en"/>
        </w:rPr>
        <w:t xml:space="preserve">From the results of the analysis test of the data used seen in </w:t>
      </w:r>
      <w:proofErr w:type="spellStart"/>
      <w:r>
        <w:rPr>
          <w:color w:val="000000" w:themeColor="text1"/>
          <w:lang w:val="en"/>
        </w:rPr>
        <w:t>Tabel</w:t>
      </w:r>
      <w:proofErr w:type="spellEnd"/>
      <w:r>
        <w:rPr>
          <w:color w:val="000000" w:themeColor="text1"/>
          <w:lang w:val="en"/>
        </w:rPr>
        <w:t xml:space="preserve"> above, it is known that from the two tests obtained results that the value of R Square in the second test increased or greater than the value of R Square on the first test result, the results of the first test obtained a value of 0.005 while in the second test obtained a value of 0.014. From these results it can be concluded that the influence of ERMD variables is strengthened by GC variables in influencing enterprise value </w:t>
      </w:r>
      <w:proofErr w:type="spellStart"/>
      <w:proofErr w:type="gramStart"/>
      <w:r>
        <w:rPr>
          <w:color w:val="000000" w:themeColor="text1"/>
          <w:lang w:val="en"/>
        </w:rPr>
        <w:t>variables,so</w:t>
      </w:r>
      <w:proofErr w:type="spellEnd"/>
      <w:proofErr w:type="gramEnd"/>
      <w:r>
        <w:rPr>
          <w:color w:val="000000" w:themeColor="text1"/>
          <w:lang w:val="en"/>
        </w:rPr>
        <w:t xml:space="preserve"> the third hypothesis of this study is accepted.</w:t>
      </w:r>
    </w:p>
    <w:p w14:paraId="03D616CF" w14:textId="77777777" w:rsidR="004B6C5B" w:rsidRDefault="004B6C5B" w:rsidP="00834765">
      <w:pPr>
        <w:jc w:val="both"/>
        <w:rPr>
          <w:b/>
          <w:bCs/>
          <w:color w:val="000000" w:themeColor="text1"/>
          <w:lang w:val="en"/>
        </w:rPr>
      </w:pPr>
    </w:p>
    <w:p w14:paraId="139C60FB" w14:textId="69DDFA3E" w:rsidR="00DF7FE6" w:rsidRDefault="00DF7FE6" w:rsidP="00834765">
      <w:pPr>
        <w:jc w:val="both"/>
        <w:rPr>
          <w:b/>
          <w:bCs/>
          <w:color w:val="000000" w:themeColor="text1"/>
        </w:rPr>
      </w:pPr>
      <w:r>
        <w:rPr>
          <w:b/>
          <w:bCs/>
          <w:color w:val="000000" w:themeColor="text1"/>
          <w:lang w:val="en"/>
        </w:rPr>
        <w:t xml:space="preserve">Results of </w:t>
      </w:r>
      <w:r>
        <w:rPr>
          <w:b/>
          <w:color w:val="000000" w:themeColor="text1"/>
          <w:lang w:val="en"/>
        </w:rPr>
        <w:t xml:space="preserve">the fourth </w:t>
      </w:r>
      <w:proofErr w:type="gramStart"/>
      <w:r>
        <w:rPr>
          <w:b/>
          <w:color w:val="000000" w:themeColor="text1"/>
          <w:lang w:val="en"/>
        </w:rPr>
        <w:t>hypothesis</w:t>
      </w:r>
      <w:r>
        <w:rPr>
          <w:b/>
          <w:bCs/>
          <w:color w:val="000000" w:themeColor="text1"/>
          <w:lang w:val="en"/>
        </w:rPr>
        <w:t xml:space="preserve"> </w:t>
      </w:r>
      <w:r>
        <w:rPr>
          <w:lang w:val="en"/>
        </w:rPr>
        <w:t xml:space="preserve"> </w:t>
      </w:r>
      <w:r>
        <w:rPr>
          <w:b/>
          <w:color w:val="000000" w:themeColor="text1"/>
          <w:lang w:val="en"/>
        </w:rPr>
        <w:t>analysis</w:t>
      </w:r>
      <w:proofErr w:type="gramEnd"/>
      <w:r>
        <w:rPr>
          <w:b/>
          <w:color w:val="000000" w:themeColor="text1"/>
          <w:lang w:val="en"/>
        </w:rPr>
        <w:t xml:space="preserve"> </w:t>
      </w:r>
      <w:r>
        <w:rPr>
          <w:b/>
          <w:bCs/>
          <w:color w:val="000000" w:themeColor="text1"/>
          <w:lang w:val="en"/>
        </w:rPr>
        <w:t>test</w:t>
      </w:r>
    </w:p>
    <w:p w14:paraId="15850713" w14:textId="7531BF8C" w:rsidR="00FC7A9A" w:rsidRDefault="00FC7A9A" w:rsidP="00FC7A9A">
      <w:pPr>
        <w:jc w:val="both"/>
        <w:rPr>
          <w:b/>
          <w:bCs/>
          <w:color w:val="000000" w:themeColor="text1"/>
        </w:rPr>
      </w:pPr>
      <w:r>
        <w:rPr>
          <w:b/>
          <w:bCs/>
          <w:color w:val="000000" w:themeColor="text1"/>
        </w:rPr>
        <w:t xml:space="preserve">                       </w:t>
      </w:r>
      <w:r w:rsidR="00DF7FE6">
        <w:rPr>
          <w:b/>
          <w:bCs/>
          <w:color w:val="000000" w:themeColor="text1"/>
          <w:lang w:val="en"/>
        </w:rPr>
        <w:t>Table 9</w:t>
      </w:r>
      <w:r w:rsidR="00DF7FE6">
        <w:rPr>
          <w:b/>
          <w:color w:val="000000" w:themeColor="text1"/>
          <w:lang w:val="en"/>
        </w:rPr>
        <w:t xml:space="preserve">.  </w:t>
      </w:r>
      <w:proofErr w:type="gramStart"/>
      <w:r w:rsidR="00DF7FE6">
        <w:rPr>
          <w:b/>
          <w:color w:val="000000" w:themeColor="text1"/>
          <w:lang w:val="en"/>
        </w:rPr>
        <w:t xml:space="preserve">First </w:t>
      </w:r>
      <w:r w:rsidR="00DF7FE6">
        <w:rPr>
          <w:lang w:val="en"/>
        </w:rPr>
        <w:t xml:space="preserve"> </w:t>
      </w:r>
      <w:r w:rsidR="00DF7FE6">
        <w:rPr>
          <w:b/>
          <w:bCs/>
          <w:color w:val="000000" w:themeColor="text1"/>
          <w:lang w:val="en"/>
        </w:rPr>
        <w:t>Test</w:t>
      </w:r>
      <w:proofErr w:type="gramEnd"/>
      <w:r w:rsidR="00DF7FE6">
        <w:rPr>
          <w:lang w:val="en"/>
        </w:rPr>
        <w:t xml:space="preserve"> Results</w:t>
      </w:r>
    </w:p>
    <w:tbl>
      <w:tblPr>
        <w:tblW w:w="5080" w:type="dxa"/>
        <w:jc w:val="center"/>
        <w:tblLook w:val="04A0" w:firstRow="1" w:lastRow="0" w:firstColumn="1" w:lastColumn="0" w:noHBand="0" w:noVBand="1"/>
      </w:tblPr>
      <w:tblGrid>
        <w:gridCol w:w="960"/>
        <w:gridCol w:w="960"/>
        <w:gridCol w:w="960"/>
        <w:gridCol w:w="960"/>
        <w:gridCol w:w="1240"/>
      </w:tblGrid>
      <w:tr w:rsidR="00FC7A9A" w14:paraId="31CFB2B2" w14:textId="77777777" w:rsidTr="00FC7A9A">
        <w:trPr>
          <w:trHeight w:val="48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2B6D1D13"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Model</w:t>
            </w:r>
          </w:p>
        </w:tc>
        <w:tc>
          <w:tcPr>
            <w:tcW w:w="960" w:type="dxa"/>
            <w:tcBorders>
              <w:top w:val="single" w:sz="4" w:space="0" w:color="auto"/>
              <w:left w:val="nil"/>
              <w:bottom w:val="single" w:sz="4" w:space="0" w:color="auto"/>
              <w:right w:val="single" w:sz="4" w:space="0" w:color="auto"/>
            </w:tcBorders>
            <w:vAlign w:val="center"/>
            <w:hideMark/>
          </w:tcPr>
          <w:p w14:paraId="14012C16"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R</w:t>
            </w:r>
          </w:p>
        </w:tc>
        <w:tc>
          <w:tcPr>
            <w:tcW w:w="960" w:type="dxa"/>
            <w:tcBorders>
              <w:top w:val="single" w:sz="4" w:space="0" w:color="auto"/>
              <w:left w:val="nil"/>
              <w:bottom w:val="single" w:sz="4" w:space="0" w:color="auto"/>
              <w:right w:val="single" w:sz="4" w:space="0" w:color="auto"/>
            </w:tcBorders>
            <w:vAlign w:val="center"/>
            <w:hideMark/>
          </w:tcPr>
          <w:p w14:paraId="0C04F4BA"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R Square</w:t>
            </w:r>
          </w:p>
        </w:tc>
        <w:tc>
          <w:tcPr>
            <w:tcW w:w="960" w:type="dxa"/>
            <w:tcBorders>
              <w:top w:val="single" w:sz="4" w:space="0" w:color="auto"/>
              <w:left w:val="nil"/>
              <w:bottom w:val="single" w:sz="4" w:space="0" w:color="auto"/>
              <w:right w:val="single" w:sz="4" w:space="0" w:color="auto"/>
            </w:tcBorders>
            <w:vAlign w:val="center"/>
            <w:hideMark/>
          </w:tcPr>
          <w:p w14:paraId="352D47E8"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Adjusted R Square</w:t>
            </w:r>
          </w:p>
        </w:tc>
        <w:tc>
          <w:tcPr>
            <w:tcW w:w="1240" w:type="dxa"/>
            <w:tcBorders>
              <w:top w:val="single" w:sz="4" w:space="0" w:color="auto"/>
              <w:left w:val="nil"/>
              <w:bottom w:val="single" w:sz="4" w:space="0" w:color="auto"/>
              <w:right w:val="single" w:sz="4" w:space="0" w:color="auto"/>
            </w:tcBorders>
            <w:vAlign w:val="center"/>
            <w:hideMark/>
          </w:tcPr>
          <w:p w14:paraId="252C5BEF"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Std. Error of the Estimate</w:t>
            </w:r>
          </w:p>
        </w:tc>
      </w:tr>
      <w:tr w:rsidR="00FC7A9A" w14:paraId="06BE7B90" w14:textId="77777777" w:rsidTr="00FC7A9A">
        <w:trPr>
          <w:trHeight w:val="300"/>
          <w:jc w:val="center"/>
        </w:trPr>
        <w:tc>
          <w:tcPr>
            <w:tcW w:w="960" w:type="dxa"/>
            <w:tcBorders>
              <w:top w:val="nil"/>
              <w:left w:val="single" w:sz="4" w:space="0" w:color="auto"/>
              <w:bottom w:val="single" w:sz="4" w:space="0" w:color="auto"/>
              <w:right w:val="single" w:sz="4" w:space="0" w:color="auto"/>
            </w:tcBorders>
            <w:noWrap/>
            <w:hideMark/>
          </w:tcPr>
          <w:p w14:paraId="08072C76" w14:textId="77777777" w:rsidR="00FC7A9A" w:rsidRDefault="00FC7A9A" w:rsidP="00FC7A9A">
            <w:pPr>
              <w:rPr>
                <w:rFonts w:eastAsia="Times New Roman"/>
                <w:color w:val="000000"/>
                <w:sz w:val="18"/>
                <w:szCs w:val="18"/>
                <w:lang w:eastAsia="id-ID"/>
              </w:rPr>
            </w:pPr>
            <w:r>
              <w:rPr>
                <w:rFonts w:eastAsia="Times New Roman"/>
                <w:color w:val="000000"/>
                <w:sz w:val="18"/>
                <w:szCs w:val="18"/>
                <w:lang w:eastAsia="id-ID"/>
              </w:rPr>
              <w:t>1</w:t>
            </w:r>
          </w:p>
        </w:tc>
        <w:tc>
          <w:tcPr>
            <w:tcW w:w="960" w:type="dxa"/>
            <w:tcBorders>
              <w:top w:val="nil"/>
              <w:left w:val="nil"/>
              <w:bottom w:val="single" w:sz="4" w:space="0" w:color="auto"/>
              <w:right w:val="single" w:sz="4" w:space="0" w:color="auto"/>
            </w:tcBorders>
            <w:noWrap/>
            <w:hideMark/>
          </w:tcPr>
          <w:p w14:paraId="16415D86"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0,106</w:t>
            </w:r>
            <w:r>
              <w:rPr>
                <w:rFonts w:eastAsia="Times New Roman"/>
                <w:color w:val="000000"/>
                <w:sz w:val="18"/>
                <w:szCs w:val="18"/>
                <w:vertAlign w:val="superscript"/>
                <w:lang w:eastAsia="id-ID"/>
              </w:rPr>
              <w:t>a</w:t>
            </w:r>
          </w:p>
        </w:tc>
        <w:tc>
          <w:tcPr>
            <w:tcW w:w="960" w:type="dxa"/>
            <w:tcBorders>
              <w:top w:val="nil"/>
              <w:left w:val="nil"/>
              <w:bottom w:val="single" w:sz="4" w:space="0" w:color="auto"/>
              <w:right w:val="single" w:sz="4" w:space="0" w:color="auto"/>
            </w:tcBorders>
            <w:noWrap/>
            <w:hideMark/>
          </w:tcPr>
          <w:p w14:paraId="64AD8910"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0,011</w:t>
            </w:r>
          </w:p>
        </w:tc>
        <w:tc>
          <w:tcPr>
            <w:tcW w:w="960" w:type="dxa"/>
            <w:tcBorders>
              <w:top w:val="nil"/>
              <w:left w:val="nil"/>
              <w:bottom w:val="single" w:sz="4" w:space="0" w:color="auto"/>
              <w:right w:val="single" w:sz="4" w:space="0" w:color="auto"/>
            </w:tcBorders>
            <w:noWrap/>
            <w:hideMark/>
          </w:tcPr>
          <w:p w14:paraId="70700B2B"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0,007</w:t>
            </w:r>
          </w:p>
        </w:tc>
        <w:tc>
          <w:tcPr>
            <w:tcW w:w="1240" w:type="dxa"/>
            <w:tcBorders>
              <w:top w:val="nil"/>
              <w:left w:val="nil"/>
              <w:bottom w:val="single" w:sz="4" w:space="0" w:color="auto"/>
              <w:right w:val="single" w:sz="4" w:space="0" w:color="auto"/>
            </w:tcBorders>
            <w:noWrap/>
            <w:hideMark/>
          </w:tcPr>
          <w:p w14:paraId="15696117"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1,98342</w:t>
            </w:r>
          </w:p>
        </w:tc>
      </w:tr>
    </w:tbl>
    <w:p w14:paraId="5ADB1786" w14:textId="77777777" w:rsidR="00DF7FE6" w:rsidRDefault="00FC7A9A" w:rsidP="00873B7C">
      <w:pPr>
        <w:jc w:val="both"/>
        <w:rPr>
          <w:color w:val="000000" w:themeColor="text1"/>
        </w:rPr>
      </w:pPr>
      <w:r>
        <w:rPr>
          <w:color w:val="000000" w:themeColor="text1"/>
        </w:rPr>
        <w:t xml:space="preserve">                        </w:t>
      </w:r>
      <w:r w:rsidR="00DF7FE6">
        <w:rPr>
          <w:color w:val="000000" w:themeColor="text1"/>
          <w:lang w:val="en"/>
        </w:rPr>
        <w:t>Source: data processed 2021</w:t>
      </w:r>
    </w:p>
    <w:p w14:paraId="3CF6E708" w14:textId="404E2279" w:rsidR="00FC7A9A" w:rsidRDefault="00DF7FE6" w:rsidP="00DF7FE6">
      <w:pPr>
        <w:ind w:left="720" w:firstLine="720"/>
        <w:jc w:val="both"/>
        <w:rPr>
          <w:b/>
          <w:bCs/>
          <w:color w:val="000000" w:themeColor="text1"/>
        </w:rPr>
      </w:pPr>
      <w:r>
        <w:rPr>
          <w:b/>
          <w:bCs/>
          <w:color w:val="000000" w:themeColor="text1"/>
          <w:lang w:val="en"/>
        </w:rPr>
        <w:t>Table 10</w:t>
      </w:r>
      <w:r>
        <w:rPr>
          <w:b/>
          <w:color w:val="000000" w:themeColor="text1"/>
          <w:lang w:val="en"/>
        </w:rPr>
        <w:t xml:space="preserve">. </w:t>
      </w:r>
      <w:proofErr w:type="gramStart"/>
      <w:r>
        <w:rPr>
          <w:b/>
          <w:color w:val="000000" w:themeColor="text1"/>
          <w:lang w:val="en"/>
        </w:rPr>
        <w:t xml:space="preserve">Second </w:t>
      </w:r>
      <w:r>
        <w:rPr>
          <w:lang w:val="en"/>
        </w:rPr>
        <w:t xml:space="preserve"> </w:t>
      </w:r>
      <w:r>
        <w:rPr>
          <w:b/>
          <w:bCs/>
          <w:color w:val="000000" w:themeColor="text1"/>
          <w:lang w:val="en"/>
        </w:rPr>
        <w:t>Test</w:t>
      </w:r>
      <w:proofErr w:type="gramEnd"/>
      <w:r>
        <w:rPr>
          <w:lang w:val="en"/>
        </w:rPr>
        <w:t xml:space="preserve"> Results</w:t>
      </w:r>
    </w:p>
    <w:tbl>
      <w:tblPr>
        <w:tblW w:w="5080" w:type="dxa"/>
        <w:jc w:val="center"/>
        <w:tblLook w:val="04A0" w:firstRow="1" w:lastRow="0" w:firstColumn="1" w:lastColumn="0" w:noHBand="0" w:noVBand="1"/>
      </w:tblPr>
      <w:tblGrid>
        <w:gridCol w:w="960"/>
        <w:gridCol w:w="960"/>
        <w:gridCol w:w="960"/>
        <w:gridCol w:w="960"/>
        <w:gridCol w:w="1240"/>
      </w:tblGrid>
      <w:tr w:rsidR="00FC7A9A" w14:paraId="5DF7F4AB" w14:textId="77777777" w:rsidTr="00FC7A9A">
        <w:trPr>
          <w:trHeight w:val="48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14:paraId="6709F4AC"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Model</w:t>
            </w:r>
          </w:p>
        </w:tc>
        <w:tc>
          <w:tcPr>
            <w:tcW w:w="960" w:type="dxa"/>
            <w:tcBorders>
              <w:top w:val="single" w:sz="4" w:space="0" w:color="auto"/>
              <w:left w:val="nil"/>
              <w:bottom w:val="single" w:sz="4" w:space="0" w:color="auto"/>
              <w:right w:val="single" w:sz="4" w:space="0" w:color="auto"/>
            </w:tcBorders>
            <w:vAlign w:val="center"/>
            <w:hideMark/>
          </w:tcPr>
          <w:p w14:paraId="03FC515D"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R</w:t>
            </w:r>
          </w:p>
        </w:tc>
        <w:tc>
          <w:tcPr>
            <w:tcW w:w="960" w:type="dxa"/>
            <w:tcBorders>
              <w:top w:val="single" w:sz="4" w:space="0" w:color="auto"/>
              <w:left w:val="nil"/>
              <w:bottom w:val="single" w:sz="4" w:space="0" w:color="auto"/>
              <w:right w:val="single" w:sz="4" w:space="0" w:color="auto"/>
            </w:tcBorders>
            <w:vAlign w:val="center"/>
            <w:hideMark/>
          </w:tcPr>
          <w:p w14:paraId="01CA1F53"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R Square</w:t>
            </w:r>
          </w:p>
        </w:tc>
        <w:tc>
          <w:tcPr>
            <w:tcW w:w="960" w:type="dxa"/>
            <w:tcBorders>
              <w:top w:val="single" w:sz="4" w:space="0" w:color="auto"/>
              <w:left w:val="nil"/>
              <w:bottom w:val="single" w:sz="4" w:space="0" w:color="auto"/>
              <w:right w:val="single" w:sz="4" w:space="0" w:color="auto"/>
            </w:tcBorders>
            <w:vAlign w:val="center"/>
            <w:hideMark/>
          </w:tcPr>
          <w:p w14:paraId="42207204"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Adjusted R Square</w:t>
            </w:r>
          </w:p>
        </w:tc>
        <w:tc>
          <w:tcPr>
            <w:tcW w:w="1240" w:type="dxa"/>
            <w:tcBorders>
              <w:top w:val="single" w:sz="4" w:space="0" w:color="auto"/>
              <w:left w:val="nil"/>
              <w:bottom w:val="single" w:sz="4" w:space="0" w:color="auto"/>
              <w:right w:val="single" w:sz="4" w:space="0" w:color="auto"/>
            </w:tcBorders>
            <w:vAlign w:val="center"/>
            <w:hideMark/>
          </w:tcPr>
          <w:p w14:paraId="71C2EC81" w14:textId="77777777" w:rsidR="00FC7A9A" w:rsidRDefault="00FC7A9A" w:rsidP="00FC7A9A">
            <w:pPr>
              <w:jc w:val="center"/>
              <w:rPr>
                <w:rFonts w:eastAsia="Times New Roman"/>
                <w:b/>
                <w:bCs/>
                <w:color w:val="000000"/>
                <w:sz w:val="18"/>
                <w:szCs w:val="18"/>
                <w:lang w:eastAsia="id-ID"/>
              </w:rPr>
            </w:pPr>
            <w:r>
              <w:rPr>
                <w:rFonts w:eastAsia="Times New Roman"/>
                <w:b/>
                <w:bCs/>
                <w:color w:val="000000"/>
                <w:sz w:val="18"/>
                <w:szCs w:val="18"/>
                <w:lang w:eastAsia="id-ID"/>
              </w:rPr>
              <w:t>Std. Error of the Estimate</w:t>
            </w:r>
          </w:p>
        </w:tc>
      </w:tr>
      <w:tr w:rsidR="00FC7A9A" w14:paraId="1907085F" w14:textId="77777777" w:rsidTr="00FC7A9A">
        <w:trPr>
          <w:trHeight w:val="300"/>
          <w:jc w:val="center"/>
        </w:trPr>
        <w:tc>
          <w:tcPr>
            <w:tcW w:w="960" w:type="dxa"/>
            <w:tcBorders>
              <w:top w:val="nil"/>
              <w:left w:val="single" w:sz="4" w:space="0" w:color="auto"/>
              <w:bottom w:val="single" w:sz="4" w:space="0" w:color="auto"/>
              <w:right w:val="single" w:sz="4" w:space="0" w:color="auto"/>
            </w:tcBorders>
            <w:noWrap/>
            <w:hideMark/>
          </w:tcPr>
          <w:p w14:paraId="0C721BDE" w14:textId="77777777" w:rsidR="00FC7A9A" w:rsidRDefault="00FC7A9A" w:rsidP="00FC7A9A">
            <w:pPr>
              <w:rPr>
                <w:rFonts w:eastAsia="Times New Roman"/>
                <w:color w:val="000000"/>
                <w:sz w:val="18"/>
                <w:szCs w:val="18"/>
                <w:lang w:eastAsia="id-ID"/>
              </w:rPr>
            </w:pPr>
            <w:r>
              <w:rPr>
                <w:rFonts w:eastAsia="Times New Roman"/>
                <w:color w:val="000000"/>
                <w:sz w:val="18"/>
                <w:szCs w:val="18"/>
                <w:lang w:eastAsia="id-ID"/>
              </w:rPr>
              <w:t>1</w:t>
            </w:r>
          </w:p>
        </w:tc>
        <w:tc>
          <w:tcPr>
            <w:tcW w:w="960" w:type="dxa"/>
            <w:tcBorders>
              <w:top w:val="nil"/>
              <w:left w:val="nil"/>
              <w:bottom w:val="single" w:sz="4" w:space="0" w:color="auto"/>
              <w:right w:val="single" w:sz="4" w:space="0" w:color="auto"/>
            </w:tcBorders>
            <w:noWrap/>
            <w:hideMark/>
          </w:tcPr>
          <w:p w14:paraId="10A3BBAA"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0,121</w:t>
            </w:r>
            <w:r>
              <w:rPr>
                <w:rFonts w:eastAsia="Times New Roman"/>
                <w:color w:val="000000"/>
                <w:sz w:val="18"/>
                <w:szCs w:val="18"/>
                <w:vertAlign w:val="superscript"/>
                <w:lang w:eastAsia="id-ID"/>
              </w:rPr>
              <w:t>a</w:t>
            </w:r>
          </w:p>
        </w:tc>
        <w:tc>
          <w:tcPr>
            <w:tcW w:w="960" w:type="dxa"/>
            <w:tcBorders>
              <w:top w:val="nil"/>
              <w:left w:val="nil"/>
              <w:bottom w:val="single" w:sz="4" w:space="0" w:color="auto"/>
              <w:right w:val="single" w:sz="4" w:space="0" w:color="auto"/>
            </w:tcBorders>
            <w:noWrap/>
            <w:hideMark/>
          </w:tcPr>
          <w:p w14:paraId="74631C15"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0,015</w:t>
            </w:r>
          </w:p>
        </w:tc>
        <w:tc>
          <w:tcPr>
            <w:tcW w:w="960" w:type="dxa"/>
            <w:tcBorders>
              <w:top w:val="nil"/>
              <w:left w:val="nil"/>
              <w:bottom w:val="single" w:sz="4" w:space="0" w:color="auto"/>
              <w:right w:val="single" w:sz="4" w:space="0" w:color="auto"/>
            </w:tcBorders>
            <w:noWrap/>
            <w:hideMark/>
          </w:tcPr>
          <w:p w14:paraId="19393BBB"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0,012</w:t>
            </w:r>
          </w:p>
        </w:tc>
        <w:tc>
          <w:tcPr>
            <w:tcW w:w="1240" w:type="dxa"/>
            <w:tcBorders>
              <w:top w:val="nil"/>
              <w:left w:val="nil"/>
              <w:bottom w:val="single" w:sz="4" w:space="0" w:color="auto"/>
              <w:right w:val="single" w:sz="4" w:space="0" w:color="auto"/>
            </w:tcBorders>
            <w:noWrap/>
            <w:hideMark/>
          </w:tcPr>
          <w:p w14:paraId="43B53034" w14:textId="77777777" w:rsidR="00FC7A9A" w:rsidRDefault="00FC7A9A" w:rsidP="00FC7A9A">
            <w:pPr>
              <w:jc w:val="right"/>
              <w:rPr>
                <w:rFonts w:eastAsia="Times New Roman"/>
                <w:color w:val="000000"/>
                <w:sz w:val="18"/>
                <w:szCs w:val="18"/>
                <w:lang w:eastAsia="id-ID"/>
              </w:rPr>
            </w:pPr>
            <w:r>
              <w:rPr>
                <w:rFonts w:eastAsia="Times New Roman"/>
                <w:color w:val="000000"/>
                <w:sz w:val="18"/>
                <w:szCs w:val="18"/>
                <w:lang w:eastAsia="id-ID"/>
              </w:rPr>
              <w:t>1,98820</w:t>
            </w:r>
          </w:p>
        </w:tc>
      </w:tr>
    </w:tbl>
    <w:p w14:paraId="3DD8D0F2" w14:textId="03C7A9A6" w:rsidR="00FC7A9A" w:rsidRDefault="00FC7A9A" w:rsidP="00FC7A9A">
      <w:pPr>
        <w:jc w:val="both"/>
        <w:rPr>
          <w:color w:val="000000" w:themeColor="text1"/>
        </w:rPr>
      </w:pPr>
      <w:r>
        <w:rPr>
          <w:color w:val="000000" w:themeColor="text1"/>
        </w:rPr>
        <w:t xml:space="preserve">                       </w:t>
      </w:r>
      <w:r w:rsidR="00DF7FE6">
        <w:rPr>
          <w:color w:val="000000" w:themeColor="text1"/>
          <w:lang w:val="en"/>
        </w:rPr>
        <w:t>Source: data processed</w:t>
      </w:r>
      <w:r>
        <w:rPr>
          <w:color w:val="000000" w:themeColor="text1"/>
        </w:rPr>
        <w:t xml:space="preserve"> 2021</w:t>
      </w:r>
    </w:p>
    <w:p w14:paraId="41D4A2BD" w14:textId="45146B97" w:rsidR="00FC7A9A" w:rsidRDefault="00DF7FE6" w:rsidP="00FC7A9A">
      <w:pPr>
        <w:ind w:firstLine="720"/>
        <w:jc w:val="both"/>
        <w:rPr>
          <w:color w:val="000000" w:themeColor="text1"/>
        </w:rPr>
      </w:pPr>
      <w:r>
        <w:rPr>
          <w:color w:val="000000" w:themeColor="text1"/>
          <w:lang w:val="en"/>
        </w:rPr>
        <w:lastRenderedPageBreak/>
        <w:t xml:space="preserve">The results of the analysis test seen in the table above, it can be known that </w:t>
      </w:r>
      <w:r>
        <w:rPr>
          <w:i/>
          <w:iCs/>
          <w:color w:val="000000" w:themeColor="text1"/>
          <w:lang w:val="en"/>
        </w:rPr>
        <w:t xml:space="preserve">the Good </w:t>
      </w:r>
      <w:proofErr w:type="gramStart"/>
      <w:r>
        <w:rPr>
          <w:i/>
          <w:iCs/>
          <w:color w:val="000000" w:themeColor="text1"/>
          <w:lang w:val="en"/>
        </w:rPr>
        <w:t xml:space="preserve">Corporate </w:t>
      </w:r>
      <w:r>
        <w:rPr>
          <w:lang w:val="en"/>
        </w:rPr>
        <w:t xml:space="preserve"> </w:t>
      </w:r>
      <w:r>
        <w:rPr>
          <w:color w:val="000000" w:themeColor="text1"/>
          <w:lang w:val="en"/>
        </w:rPr>
        <w:t>(</w:t>
      </w:r>
      <w:proofErr w:type="gramEnd"/>
      <w:r>
        <w:rPr>
          <w:color w:val="000000" w:themeColor="text1"/>
          <w:lang w:val="en"/>
        </w:rPr>
        <w:t xml:space="preserve">GCG) variable is able to be a </w:t>
      </w:r>
      <w:proofErr w:type="spellStart"/>
      <w:r>
        <w:rPr>
          <w:color w:val="000000" w:themeColor="text1"/>
          <w:lang w:val="en"/>
        </w:rPr>
        <w:t>moderadation</w:t>
      </w:r>
      <w:proofErr w:type="spellEnd"/>
      <w:r>
        <w:rPr>
          <w:color w:val="000000" w:themeColor="text1"/>
          <w:lang w:val="en"/>
        </w:rPr>
        <w:t xml:space="preserve"> in providing a strong influence on the relationship between </w:t>
      </w:r>
      <w:r>
        <w:rPr>
          <w:lang w:val="en"/>
        </w:rPr>
        <w:t xml:space="preserve">intellectual </w:t>
      </w:r>
      <w:r>
        <w:rPr>
          <w:i/>
          <w:iCs/>
          <w:color w:val="000000" w:themeColor="text1"/>
          <w:lang w:val="en"/>
        </w:rPr>
        <w:t>capital</w:t>
      </w:r>
      <w:r>
        <w:rPr>
          <w:lang w:val="en"/>
        </w:rPr>
        <w:t xml:space="preserve"> and corporate</w:t>
      </w:r>
      <w:r>
        <w:rPr>
          <w:color w:val="000000" w:themeColor="text1"/>
          <w:lang w:val="en"/>
        </w:rPr>
        <w:t xml:space="preserve"> value variables. The results can be seen the acquisition of values where for the first test result, the value of R Square obtained is 0.011 while for the result of R Square value in the second test increased, to 0.015.</w:t>
      </w:r>
      <w:r>
        <w:rPr>
          <w:lang w:val="en"/>
        </w:rPr>
        <w:t xml:space="preserve"> </w:t>
      </w:r>
      <w:r>
        <w:rPr>
          <w:color w:val="000000" w:themeColor="text1"/>
          <w:lang w:val="en"/>
        </w:rPr>
        <w:t xml:space="preserve">So it can be concluded that the fourth hypothesis in this study is </w:t>
      </w:r>
      <w:proofErr w:type="gramStart"/>
      <w:r>
        <w:rPr>
          <w:color w:val="000000" w:themeColor="text1"/>
          <w:lang w:val="en"/>
        </w:rPr>
        <w:t>accepted.</w:t>
      </w:r>
      <w:r w:rsidR="00FC7A9A">
        <w:rPr>
          <w:color w:val="000000" w:themeColor="text1"/>
        </w:rPr>
        <w:t>.</w:t>
      </w:r>
      <w:proofErr w:type="gramEnd"/>
    </w:p>
    <w:p w14:paraId="1E1E6048" w14:textId="6438C19B" w:rsidR="00906701" w:rsidRDefault="00906701" w:rsidP="00FC7A9A">
      <w:pPr>
        <w:jc w:val="both"/>
        <w:rPr>
          <w:bCs/>
          <w:sz w:val="22"/>
          <w:lang w:val="en-US"/>
        </w:rPr>
      </w:pPr>
    </w:p>
    <w:p w14:paraId="27F05E38" w14:textId="660DA5A4" w:rsidR="004B6C5B" w:rsidRPr="004B6C5B" w:rsidRDefault="004B6C5B" w:rsidP="004B6C5B">
      <w:pPr>
        <w:pStyle w:val="ListParagraph"/>
        <w:numPr>
          <w:ilvl w:val="0"/>
          <w:numId w:val="2"/>
        </w:numPr>
        <w:tabs>
          <w:tab w:val="clear" w:pos="720"/>
        </w:tabs>
        <w:ind w:left="284" w:hanging="284"/>
        <w:jc w:val="both"/>
        <w:rPr>
          <w:b/>
          <w:bCs/>
          <w:sz w:val="22"/>
          <w:lang w:val="en-US"/>
        </w:rPr>
      </w:pPr>
      <w:r w:rsidRPr="004B6C5B">
        <w:rPr>
          <w:b/>
          <w:bCs/>
          <w:sz w:val="22"/>
          <w:lang w:val="en"/>
        </w:rPr>
        <w:t>Conclusion</w:t>
      </w:r>
    </w:p>
    <w:p w14:paraId="4B5B59D8" w14:textId="77777777" w:rsidR="004B6C5B" w:rsidRPr="00F55CE7" w:rsidRDefault="004B6C5B" w:rsidP="001A71D2">
      <w:pPr>
        <w:pStyle w:val="ListParagraph"/>
        <w:ind w:left="0" w:firstLine="720"/>
        <w:jc w:val="both"/>
        <w:rPr>
          <w:color w:val="000000" w:themeColor="text1"/>
        </w:rPr>
      </w:pPr>
      <w:r>
        <w:rPr>
          <w:color w:val="000000" w:themeColor="text1"/>
          <w:lang w:val="en"/>
        </w:rPr>
        <w:t xml:space="preserve">Disclosure </w:t>
      </w:r>
      <w:r w:rsidRPr="002D59A3">
        <w:rPr>
          <w:i/>
          <w:iCs/>
          <w:color w:val="000000" w:themeColor="text1"/>
          <w:lang w:val="en"/>
        </w:rPr>
        <w:t>of Enterprise Risk Management</w:t>
      </w:r>
      <w:r>
        <w:rPr>
          <w:lang w:val="en"/>
        </w:rPr>
        <w:t xml:space="preserve"> has a positive and </w:t>
      </w:r>
      <w:proofErr w:type="gramStart"/>
      <w:r>
        <w:rPr>
          <w:color w:val="000000" w:themeColor="text1"/>
          <w:lang w:val="en"/>
        </w:rPr>
        <w:t>significant  effect</w:t>
      </w:r>
      <w:proofErr w:type="gramEnd"/>
      <w:r>
        <w:rPr>
          <w:color w:val="000000" w:themeColor="text1"/>
          <w:lang w:val="en"/>
        </w:rPr>
        <w:t xml:space="preserve"> </w:t>
      </w:r>
      <w:r>
        <w:rPr>
          <w:lang w:val="en"/>
        </w:rPr>
        <w:t xml:space="preserve">on the value of </w:t>
      </w:r>
      <w:r>
        <w:rPr>
          <w:color w:val="000000" w:themeColor="text1"/>
          <w:lang w:val="en"/>
        </w:rPr>
        <w:t>the company. Investors in making decisions use ERM information as one of the factors that are considered in decision making to invest.</w:t>
      </w:r>
      <w:r>
        <w:rPr>
          <w:lang w:val="en"/>
        </w:rPr>
        <w:t xml:space="preserve"> </w:t>
      </w:r>
      <w:proofErr w:type="gramStart"/>
      <w:r w:rsidRPr="00F55CE7">
        <w:rPr>
          <w:color w:val="000000" w:themeColor="text1"/>
          <w:lang w:val="en"/>
        </w:rPr>
        <w:t xml:space="preserve">Intellectual </w:t>
      </w:r>
      <w:r>
        <w:rPr>
          <w:lang w:val="en"/>
        </w:rPr>
        <w:t xml:space="preserve"> </w:t>
      </w:r>
      <w:r w:rsidRPr="00F55CE7">
        <w:rPr>
          <w:i/>
          <w:iCs/>
          <w:color w:val="000000" w:themeColor="text1"/>
          <w:lang w:val="en"/>
        </w:rPr>
        <w:t>Capital</w:t>
      </w:r>
      <w:proofErr w:type="gramEnd"/>
      <w:r>
        <w:rPr>
          <w:lang w:val="en"/>
        </w:rPr>
        <w:t xml:space="preserve"> disclosure has </w:t>
      </w:r>
      <w:r w:rsidRPr="00F55CE7">
        <w:rPr>
          <w:color w:val="000000" w:themeColor="text1"/>
          <w:lang w:val="en"/>
        </w:rPr>
        <w:t xml:space="preserve">no </w:t>
      </w:r>
      <w:r>
        <w:rPr>
          <w:lang w:val="en"/>
        </w:rPr>
        <w:t>significant</w:t>
      </w:r>
      <w:r w:rsidRPr="00F55CE7">
        <w:rPr>
          <w:color w:val="000000" w:themeColor="text1"/>
          <w:lang w:val="en"/>
        </w:rPr>
        <w:t xml:space="preserve"> effect </w:t>
      </w:r>
      <w:r>
        <w:rPr>
          <w:lang w:val="en"/>
        </w:rPr>
        <w:t xml:space="preserve">on the value of </w:t>
      </w:r>
      <w:r w:rsidRPr="00F55CE7">
        <w:rPr>
          <w:color w:val="000000" w:themeColor="text1"/>
          <w:lang w:val="en"/>
        </w:rPr>
        <w:t xml:space="preserve">the company. These results show that potential investors are less considerate of information related to intangible assets owned by the company. </w:t>
      </w:r>
      <w:r>
        <w:rPr>
          <w:lang w:val="en"/>
        </w:rPr>
        <w:t xml:space="preserve"> </w:t>
      </w:r>
      <w:r w:rsidRPr="00F55CE7">
        <w:rPr>
          <w:i/>
          <w:iCs/>
          <w:color w:val="000000" w:themeColor="text1"/>
          <w:lang w:val="en"/>
        </w:rPr>
        <w:t xml:space="preserve">Good Corporate </w:t>
      </w:r>
      <w:proofErr w:type="gramStart"/>
      <w:r w:rsidRPr="00F55CE7">
        <w:rPr>
          <w:i/>
          <w:iCs/>
          <w:color w:val="000000" w:themeColor="text1"/>
          <w:lang w:val="en"/>
        </w:rPr>
        <w:t>Governance</w:t>
      </w:r>
      <w:r>
        <w:rPr>
          <w:lang w:val="en"/>
        </w:rPr>
        <w:t xml:space="preserve"> </w:t>
      </w:r>
      <w:r w:rsidRPr="00F55CE7">
        <w:rPr>
          <w:color w:val="000000" w:themeColor="text1"/>
          <w:lang w:val="en"/>
        </w:rPr>
        <w:t xml:space="preserve"> with</w:t>
      </w:r>
      <w:proofErr w:type="gramEnd"/>
      <w:r w:rsidRPr="00F55CE7">
        <w:rPr>
          <w:color w:val="000000" w:themeColor="text1"/>
          <w:lang w:val="en"/>
        </w:rPr>
        <w:t xml:space="preserve"> </w:t>
      </w:r>
      <w:proofErr w:type="spellStart"/>
      <w:r w:rsidRPr="00F55CE7">
        <w:rPr>
          <w:color w:val="000000" w:themeColor="text1"/>
          <w:lang w:val="en"/>
        </w:rPr>
        <w:t>proxi</w:t>
      </w:r>
      <w:proofErr w:type="spellEnd"/>
      <w:r w:rsidRPr="00F55CE7">
        <w:rPr>
          <w:color w:val="000000" w:themeColor="text1"/>
          <w:lang w:val="en"/>
        </w:rPr>
        <w:t xml:space="preserve"> independent board of commissioners</w:t>
      </w:r>
      <w:r>
        <w:rPr>
          <w:lang w:val="en"/>
        </w:rPr>
        <w:t xml:space="preserve"> </w:t>
      </w:r>
      <w:r w:rsidRPr="00F55CE7">
        <w:rPr>
          <w:color w:val="000000" w:themeColor="text1"/>
          <w:lang w:val="en"/>
        </w:rPr>
        <w:t xml:space="preserve"> is able to moderate the influence of ERM disclosure on the value of the company. Disclosure of risk information in good corporate governance, able to make investors interested in assessing the performance of a company.</w:t>
      </w:r>
      <w:r>
        <w:rPr>
          <w:lang w:val="en"/>
        </w:rPr>
        <w:t xml:space="preserve"> </w:t>
      </w:r>
      <w:r w:rsidRPr="00F55CE7">
        <w:rPr>
          <w:i/>
          <w:iCs/>
          <w:color w:val="000000" w:themeColor="text1"/>
          <w:lang w:val="en"/>
        </w:rPr>
        <w:t xml:space="preserve">Good Corporate </w:t>
      </w:r>
      <w:proofErr w:type="gramStart"/>
      <w:r w:rsidRPr="00F55CE7">
        <w:rPr>
          <w:i/>
          <w:iCs/>
          <w:color w:val="000000" w:themeColor="text1"/>
          <w:lang w:val="en"/>
        </w:rPr>
        <w:t>Governance</w:t>
      </w:r>
      <w:r>
        <w:rPr>
          <w:lang w:val="en"/>
        </w:rPr>
        <w:t xml:space="preserve"> </w:t>
      </w:r>
      <w:r w:rsidRPr="00F55CE7">
        <w:rPr>
          <w:color w:val="000000" w:themeColor="text1"/>
          <w:lang w:val="en"/>
        </w:rPr>
        <w:t xml:space="preserve"> with</w:t>
      </w:r>
      <w:proofErr w:type="gramEnd"/>
      <w:r w:rsidRPr="00F55CE7">
        <w:rPr>
          <w:color w:val="000000" w:themeColor="text1"/>
          <w:lang w:val="en"/>
        </w:rPr>
        <w:t xml:space="preserve"> an independent board of commissioners</w:t>
      </w:r>
      <w:r>
        <w:rPr>
          <w:lang w:val="en"/>
        </w:rPr>
        <w:t xml:space="preserve"> </w:t>
      </w:r>
      <w:r w:rsidRPr="00F55CE7">
        <w:rPr>
          <w:color w:val="000000" w:themeColor="text1"/>
          <w:lang w:val="en"/>
        </w:rPr>
        <w:t xml:space="preserve"> can strengthen </w:t>
      </w:r>
      <w:r>
        <w:rPr>
          <w:lang w:val="en"/>
        </w:rPr>
        <w:t xml:space="preserve">the influence of intellectual </w:t>
      </w:r>
      <w:r w:rsidRPr="00F55CE7">
        <w:rPr>
          <w:i/>
          <w:iCs/>
          <w:color w:val="000000" w:themeColor="text1"/>
          <w:lang w:val="en"/>
        </w:rPr>
        <w:t>capital</w:t>
      </w:r>
      <w:r>
        <w:rPr>
          <w:lang w:val="en"/>
        </w:rPr>
        <w:t xml:space="preserve"> disclosure on the value of</w:t>
      </w:r>
      <w:r w:rsidRPr="00F55CE7">
        <w:rPr>
          <w:color w:val="000000" w:themeColor="text1"/>
          <w:lang w:val="en"/>
        </w:rPr>
        <w:t xml:space="preserve"> the company. Voluntary disclosures such as disclosure of a company's intellectual capital are able to influence investors to invest. </w:t>
      </w:r>
      <w:proofErr w:type="gramStart"/>
      <w:r w:rsidRPr="00F55CE7">
        <w:rPr>
          <w:color w:val="000000" w:themeColor="text1"/>
          <w:lang w:val="en"/>
        </w:rPr>
        <w:t>Thus</w:t>
      </w:r>
      <w:proofErr w:type="gramEnd"/>
      <w:r w:rsidRPr="00F55CE7">
        <w:rPr>
          <w:color w:val="000000" w:themeColor="text1"/>
          <w:lang w:val="en"/>
        </w:rPr>
        <w:t xml:space="preserve"> GCG is a variable that is able to moderate </w:t>
      </w:r>
      <w:r>
        <w:rPr>
          <w:lang w:val="en"/>
        </w:rPr>
        <w:t xml:space="preserve">the influence of intellectual </w:t>
      </w:r>
      <w:r w:rsidRPr="00F55CE7">
        <w:rPr>
          <w:i/>
          <w:iCs/>
          <w:color w:val="000000" w:themeColor="text1"/>
          <w:lang w:val="en"/>
        </w:rPr>
        <w:t>capital</w:t>
      </w:r>
      <w:r>
        <w:rPr>
          <w:lang w:val="en"/>
        </w:rPr>
        <w:t xml:space="preserve"> on the value of</w:t>
      </w:r>
      <w:r w:rsidRPr="00F55CE7">
        <w:rPr>
          <w:color w:val="000000" w:themeColor="text1"/>
          <w:lang w:val="en"/>
        </w:rPr>
        <w:t xml:space="preserve"> the company.</w:t>
      </w:r>
    </w:p>
    <w:p w14:paraId="5F171B13" w14:textId="77777777" w:rsidR="00F55CE7" w:rsidRDefault="00F55CE7" w:rsidP="00F55CE7">
      <w:pPr>
        <w:pStyle w:val="ListParagraph"/>
        <w:ind w:left="0" w:firstLine="720"/>
        <w:jc w:val="both"/>
        <w:rPr>
          <w:color w:val="000000" w:themeColor="text1"/>
        </w:rPr>
      </w:pPr>
    </w:p>
    <w:p w14:paraId="13D203DB" w14:textId="0DF6B700" w:rsidR="004B6C5B" w:rsidRPr="004B6C5B" w:rsidRDefault="004B6C5B" w:rsidP="00F55CE7">
      <w:pPr>
        <w:ind w:left="448" w:hanging="448"/>
        <w:jc w:val="both"/>
        <w:rPr>
          <w:b/>
          <w:bCs/>
          <w:lang w:val="en-US"/>
        </w:rPr>
      </w:pPr>
      <w:r w:rsidRPr="004B6C5B">
        <w:rPr>
          <w:b/>
          <w:bCs/>
          <w:lang w:val="en-US"/>
        </w:rPr>
        <w:t>Reference</w:t>
      </w:r>
    </w:p>
    <w:p w14:paraId="283EC4D0" w14:textId="217EAD7B" w:rsidR="00F55CE7" w:rsidRPr="008A2965" w:rsidRDefault="00F55CE7" w:rsidP="00F55CE7">
      <w:pPr>
        <w:ind w:left="448" w:hanging="448"/>
        <w:jc w:val="both"/>
        <w:rPr>
          <w:i/>
          <w:iCs/>
        </w:rPr>
      </w:pPr>
      <w:r>
        <w:t>Alfinur. (2016). Pengaruh Mekanisme Good Corporate Governance (GCG) terhadap nilai Perusahaan pada Perusahaan yang Listing di BEI</w:t>
      </w:r>
      <w:r w:rsidRPr="008A2965">
        <w:rPr>
          <w:i/>
          <w:iCs/>
        </w:rPr>
        <w:t xml:space="preserve">. Jurnal Ekonomi Modernisasi, Vol 12 (1), </w:t>
      </w:r>
    </w:p>
    <w:p w14:paraId="29A9B195" w14:textId="026A10C8" w:rsidR="00F55CE7" w:rsidRDefault="00F55CE7" w:rsidP="00F55CE7">
      <w:pPr>
        <w:ind w:left="448" w:hanging="448"/>
        <w:jc w:val="both"/>
      </w:pPr>
      <w:r>
        <w:t xml:space="preserve">Agoes, Sukrisno. (2013). </w:t>
      </w:r>
      <w:r w:rsidRPr="008A2965">
        <w:rPr>
          <w:i/>
          <w:iCs/>
        </w:rPr>
        <w:t>Auditing Petunjuk Praktis pemeriksaan Akuntan oleh Akuntan Publik. Edisi 4 Buku 1.</w:t>
      </w:r>
      <w:r>
        <w:t xml:space="preserve"> Jakarta: Salemba Empat.</w:t>
      </w:r>
    </w:p>
    <w:p w14:paraId="3920B557" w14:textId="77777777" w:rsidR="00F55CE7" w:rsidRDefault="00F55CE7" w:rsidP="00F55CE7">
      <w:pPr>
        <w:ind w:left="448" w:hanging="448"/>
        <w:jc w:val="both"/>
      </w:pPr>
      <w:r>
        <w:t xml:space="preserve">Anisa,  Windy  Gessy.  (2012).  </w:t>
      </w:r>
      <w:r w:rsidRPr="008A2965">
        <w:rPr>
          <w:i/>
          <w:iCs/>
        </w:rPr>
        <w:t>Analisis  Faktor  Yang  Mempengaruhi Pengungkapan Manajemen Risiko (Studi empiris pada laporan tahunan perusahaan-perusahaan nonkeuangan   yang   terdaftar   di   BEI   tahun  2010).</w:t>
      </w:r>
      <w:r>
        <w:t xml:space="preserve">  Karya Ilmiah  :   Universitas Diponegoro.</w:t>
      </w:r>
    </w:p>
    <w:p w14:paraId="55B78465" w14:textId="77777777" w:rsidR="00F55CE7" w:rsidRDefault="00F55CE7" w:rsidP="00F55CE7">
      <w:pPr>
        <w:ind w:left="448" w:hanging="448"/>
        <w:jc w:val="both"/>
      </w:pPr>
      <w:r>
        <w:t xml:space="preserve">Baxter, R., J. C. Bedard, R. Hoitash, and A. Yezegel. (2013). Enterprise Risk Management Program Quality: Determinants, Value Relevance, and the Financial Crisis. </w:t>
      </w:r>
      <w:r w:rsidRPr="008A2965">
        <w:rPr>
          <w:i/>
          <w:iCs/>
        </w:rPr>
        <w:t>Contemporary Accounting Research. 30 (4)</w:t>
      </w:r>
      <w:r>
        <w:t>.</w:t>
      </w:r>
    </w:p>
    <w:p w14:paraId="6565F33A" w14:textId="77777777" w:rsidR="00F55CE7" w:rsidRDefault="00F55CE7" w:rsidP="00F55CE7">
      <w:pPr>
        <w:ind w:left="448" w:hanging="448"/>
        <w:jc w:val="both"/>
      </w:pPr>
      <w:r>
        <w:t xml:space="preserve">Blocher E, Stouth D, Juras P, Cokins G. (2013). </w:t>
      </w:r>
      <w:r w:rsidRPr="008A2965">
        <w:rPr>
          <w:i/>
          <w:iCs/>
        </w:rPr>
        <w:t>Cost Management: A strategic emphasis</w:t>
      </w:r>
      <w:r>
        <w:t xml:space="preserve"> sixth edition. New York: McGraw-Hill Company.</w:t>
      </w:r>
    </w:p>
    <w:p w14:paraId="54561947" w14:textId="77777777" w:rsidR="00F55CE7" w:rsidRDefault="00F55CE7" w:rsidP="00F55CE7">
      <w:pPr>
        <w:ind w:left="448" w:hanging="448"/>
        <w:jc w:val="both"/>
      </w:pPr>
      <w:r>
        <w:t xml:space="preserve">Chayati, N. dan  Lulus Kurniasih.(2014). </w:t>
      </w:r>
      <w:r w:rsidRPr="008A2965">
        <w:rPr>
          <w:i/>
          <w:iCs/>
        </w:rPr>
        <w:t>Pengaruh inkremental informasi Akuntansi dan intellectual capital terhadap nilai perusahaan</w:t>
      </w:r>
      <w:r>
        <w:t>. Simposium Nasional Akuntansi 18.</w:t>
      </w:r>
    </w:p>
    <w:p w14:paraId="6221364B" w14:textId="77777777" w:rsidR="00F55CE7" w:rsidRDefault="00F55CE7" w:rsidP="00F55CE7">
      <w:pPr>
        <w:ind w:left="448" w:hanging="448"/>
        <w:jc w:val="both"/>
      </w:pPr>
      <w:r>
        <w:t xml:space="preserve">Daniel N.U (2013). </w:t>
      </w:r>
      <w:r w:rsidRPr="008A2965">
        <w:rPr>
          <w:i/>
          <w:iCs/>
        </w:rPr>
        <w:t>Pengaruh  Ukuran Perusahaan, Leverage Dan Likuiditas Terhadap Luas Pengungkapan Laporan Keuangan (Studi Empiris Pada Perusahaan Manufaktur Yang Terdaftar Di Bursa Efek Indonesia)</w:t>
      </w:r>
      <w:r>
        <w:t>. Karya Ilmiah Fakultas Ekonomi Universitas Negeri Padang.</w:t>
      </w:r>
    </w:p>
    <w:p w14:paraId="629BCE1C" w14:textId="77777777" w:rsidR="00F55CE7" w:rsidRDefault="00F55CE7" w:rsidP="00F55CE7">
      <w:pPr>
        <w:ind w:left="448" w:hanging="448"/>
        <w:jc w:val="both"/>
      </w:pPr>
      <w:r>
        <w:t xml:space="preserve">Devi, Badera, dan Budiasih. (2016). </w:t>
      </w:r>
      <w:r w:rsidRPr="008A2965">
        <w:rPr>
          <w:i/>
          <w:iCs/>
        </w:rPr>
        <w:t>Pengaruh Enterprise Risk Management Disclosure Dan Intellectual Capital Disclosure Pada Nilai Perusahaan</w:t>
      </w:r>
      <w:r>
        <w:t>. Simposium Nasional Akuntansi XIX.</w:t>
      </w:r>
    </w:p>
    <w:p w14:paraId="1ED00EFC" w14:textId="77777777" w:rsidR="00F55CE7" w:rsidRDefault="00F55CE7" w:rsidP="00F55CE7">
      <w:pPr>
        <w:ind w:left="448" w:hanging="448"/>
        <w:jc w:val="both"/>
      </w:pPr>
      <w:r>
        <w:t xml:space="preserve">Ernawati dan Widyawati (2015). Pengaruh Profitabilitas, Leverage dan Ukuran Perusahaan Terhadap Nilai Perusahaan. </w:t>
      </w:r>
      <w:r w:rsidRPr="008A2965">
        <w:rPr>
          <w:i/>
          <w:iCs/>
        </w:rPr>
        <w:t>Jurnal Ilmu &amp; Riset Akuntansi Vol. 4 No. 4</w:t>
      </w:r>
      <w:r>
        <w:t xml:space="preserve"> </w:t>
      </w:r>
    </w:p>
    <w:p w14:paraId="3CD13666" w14:textId="77777777" w:rsidR="00F55CE7" w:rsidRPr="008A2965" w:rsidRDefault="00F55CE7" w:rsidP="00F55CE7">
      <w:pPr>
        <w:ind w:left="448" w:hanging="448"/>
        <w:jc w:val="both"/>
        <w:rPr>
          <w:i/>
          <w:iCs/>
        </w:rPr>
      </w:pPr>
      <w:r>
        <w:t xml:space="preserve">Febrianti, Meiriska. (2012). Faktor – Faktor Yang Mempengaruhi Nilai perusahaan Pada Industri Pertambangan Di Bursa efek Indonesia. </w:t>
      </w:r>
      <w:r w:rsidRPr="008A2965">
        <w:rPr>
          <w:i/>
          <w:iCs/>
        </w:rPr>
        <w:t>Jurnal Bisnis dan Akuntansi Vol.14,No.2.</w:t>
      </w:r>
    </w:p>
    <w:p w14:paraId="1D53485F" w14:textId="77777777" w:rsidR="00F55CE7" w:rsidRDefault="00F55CE7" w:rsidP="00F55CE7">
      <w:pPr>
        <w:ind w:left="448" w:hanging="448"/>
        <w:jc w:val="both"/>
      </w:pPr>
      <w:r>
        <w:lastRenderedPageBreak/>
        <w:t xml:space="preserve">GRI. (2013). </w:t>
      </w:r>
      <w:r w:rsidRPr="008A2965">
        <w:rPr>
          <w:i/>
          <w:iCs/>
        </w:rPr>
        <w:t xml:space="preserve">Pedoman Pelaporan Keberlanjutan </w:t>
      </w:r>
      <w:r>
        <w:t xml:space="preserve">G4.Global Reporting Initiative. </w:t>
      </w:r>
    </w:p>
    <w:p w14:paraId="2ED00D46" w14:textId="77777777" w:rsidR="00F55CE7" w:rsidRPr="008A2965" w:rsidRDefault="00F55CE7" w:rsidP="00F55CE7">
      <w:pPr>
        <w:ind w:left="448" w:hanging="448"/>
        <w:jc w:val="both"/>
        <w:rPr>
          <w:i/>
          <w:iCs/>
        </w:rPr>
      </w:pPr>
      <w:r>
        <w:t xml:space="preserve">Hadiwijaya, R.C. dan Abdul R. (2013). Pengaruh Intellectual capital terhadap Nilai Perusahaan dengan Kinerja Keuangan sebagai Variabel Intervening. </w:t>
      </w:r>
      <w:r w:rsidRPr="008A2965">
        <w:rPr>
          <w:i/>
          <w:iCs/>
        </w:rPr>
        <w:t>Journal Of Accounting, Vol 2. Nomor 3.</w:t>
      </w:r>
    </w:p>
    <w:p w14:paraId="7324EA23" w14:textId="77777777" w:rsidR="00F55CE7" w:rsidRDefault="00F55CE7" w:rsidP="00F55CE7">
      <w:pPr>
        <w:ind w:left="448" w:hanging="448"/>
        <w:jc w:val="both"/>
      </w:pPr>
      <w:r>
        <w:t xml:space="preserve">Hamdani. (2016). </w:t>
      </w:r>
      <w:r w:rsidRPr="008A2965">
        <w:rPr>
          <w:i/>
          <w:iCs/>
        </w:rPr>
        <w:t>Good Corporate Governance (Tinjauan Etika dalam Praktik Bisnis</w:t>
      </w:r>
      <w:r>
        <w:rPr>
          <w:i/>
          <w:iCs/>
        </w:rPr>
        <w:t>)</w:t>
      </w:r>
      <w:r>
        <w:t>. Jakarta: Mitra Wacana Media.</w:t>
      </w:r>
    </w:p>
    <w:p w14:paraId="64E4C790" w14:textId="77777777" w:rsidR="00F55CE7" w:rsidRDefault="00F55CE7" w:rsidP="00F55CE7">
      <w:pPr>
        <w:ind w:left="448" w:hanging="448"/>
        <w:jc w:val="both"/>
      </w:pPr>
      <w:r>
        <w:t>Handayani, B. D. (2017). Mekanisme Corporate Governance , Enterprise Risk Management ,</w:t>
      </w:r>
    </w:p>
    <w:p w14:paraId="37C8DAF2" w14:textId="77777777" w:rsidR="00F55CE7" w:rsidRDefault="00F55CE7" w:rsidP="00F55CE7">
      <w:pPr>
        <w:ind w:left="448"/>
        <w:jc w:val="both"/>
        <w:rPr>
          <w:i/>
          <w:iCs/>
        </w:rPr>
      </w:pPr>
      <w:r>
        <w:t xml:space="preserve">Dan Nilai Perusahaan Perbankan. </w:t>
      </w:r>
      <w:r w:rsidRPr="008A2965">
        <w:rPr>
          <w:i/>
          <w:iCs/>
        </w:rPr>
        <w:t>Jurnal Keuangan Dan Perbankan, 21 (40)</w:t>
      </w:r>
      <w:r>
        <w:rPr>
          <w:i/>
          <w:iCs/>
        </w:rPr>
        <w:t>.</w:t>
      </w:r>
    </w:p>
    <w:p w14:paraId="2F844484" w14:textId="77777777" w:rsidR="00F55CE7" w:rsidRDefault="00F55CE7" w:rsidP="00F55CE7">
      <w:pPr>
        <w:ind w:left="448" w:hanging="448"/>
        <w:jc w:val="both"/>
        <w:rPr>
          <w:lang w:val="en-US"/>
        </w:rPr>
      </w:pPr>
      <w:r>
        <w:rPr>
          <w:lang w:val="en-US"/>
        </w:rPr>
        <w:t xml:space="preserve">Hoyt, Robert E., Dudley L. Moore, and Jr. Chair of Insurance Andre P. </w:t>
      </w:r>
      <w:proofErr w:type="spellStart"/>
      <w:r>
        <w:rPr>
          <w:lang w:val="en-US"/>
        </w:rPr>
        <w:t>Lienberg</w:t>
      </w:r>
      <w:proofErr w:type="spellEnd"/>
      <w:r>
        <w:rPr>
          <w:lang w:val="en-US"/>
        </w:rPr>
        <w:t xml:space="preserve">. 2008. The Value of Enterprise Risk Management; Evidence </w:t>
      </w:r>
      <w:proofErr w:type="gramStart"/>
      <w:r>
        <w:rPr>
          <w:lang w:val="en-US"/>
        </w:rPr>
        <w:t>From</w:t>
      </w:r>
      <w:proofErr w:type="gramEnd"/>
      <w:r>
        <w:rPr>
          <w:lang w:val="en-US"/>
        </w:rPr>
        <w:t xml:space="preserve"> The U.S. Insurance Industry. Journal of Financial and Quantitative Analysis, Vol.26: 519-532.</w:t>
      </w:r>
    </w:p>
    <w:p w14:paraId="7C559CCE" w14:textId="77777777" w:rsidR="00F55CE7" w:rsidRPr="00FC7688" w:rsidRDefault="00F55CE7" w:rsidP="00F55CE7">
      <w:pPr>
        <w:ind w:left="448" w:hanging="448"/>
        <w:jc w:val="both"/>
        <w:rPr>
          <w:lang w:val="en-US"/>
        </w:rPr>
      </w:pPr>
      <w:r>
        <w:rPr>
          <w:lang w:val="en-US"/>
        </w:rPr>
        <w:t xml:space="preserve">Hoyt, R.E. and </w:t>
      </w:r>
      <w:proofErr w:type="spellStart"/>
      <w:r>
        <w:rPr>
          <w:lang w:val="en-US"/>
        </w:rPr>
        <w:t>Leibenberg</w:t>
      </w:r>
      <w:proofErr w:type="spellEnd"/>
      <w:r>
        <w:rPr>
          <w:lang w:val="en-US"/>
        </w:rPr>
        <w:t>, A.P. 2011. The Value of Enterprise Risk Management. Journal of Risk and Insurance, Vol 78 (4): 795-822.</w:t>
      </w:r>
    </w:p>
    <w:p w14:paraId="35D1EF4D" w14:textId="77777777" w:rsidR="00F55CE7" w:rsidRPr="008A2965" w:rsidRDefault="00F55CE7" w:rsidP="00F55CE7">
      <w:pPr>
        <w:ind w:left="448" w:hanging="448"/>
        <w:jc w:val="both"/>
        <w:rPr>
          <w:i/>
          <w:iCs/>
        </w:rPr>
      </w:pPr>
      <w:r>
        <w:t xml:space="preserve">Istifaroh &amp; Subardjo, (2017). Faktor-Faktor Yang Mempengaruhi Pengungkapan Corporate Social Responsibility. </w:t>
      </w:r>
      <w:r w:rsidRPr="008A2965">
        <w:rPr>
          <w:i/>
          <w:iCs/>
        </w:rPr>
        <w:t>Jurnal Ilmu dan Riset Akuntansi Volume 6, Nomor 6.</w:t>
      </w:r>
    </w:p>
    <w:p w14:paraId="227A55CE" w14:textId="77777777" w:rsidR="00F55CE7" w:rsidRDefault="00F55CE7" w:rsidP="00F55CE7">
      <w:pPr>
        <w:ind w:left="448" w:hanging="448"/>
        <w:jc w:val="both"/>
      </w:pPr>
      <w:r>
        <w:t xml:space="preserve">Jensen dan Meckling. (1976). The Theory Of The Firm: Manajerial Behavior, Agency Cost, and Ownership Stucture. </w:t>
      </w:r>
      <w:r w:rsidRPr="004378AD">
        <w:rPr>
          <w:i/>
          <w:iCs/>
        </w:rPr>
        <w:t>Journal of Financial and Economics</w:t>
      </w:r>
      <w:r>
        <w:t xml:space="preserve"> 3.</w:t>
      </w:r>
    </w:p>
    <w:p w14:paraId="4223F62E" w14:textId="77777777" w:rsidR="00F55CE7" w:rsidRDefault="00F55CE7" w:rsidP="00F55CE7">
      <w:pPr>
        <w:ind w:left="448" w:hanging="448"/>
        <w:jc w:val="both"/>
      </w:pPr>
      <w:r>
        <w:t xml:space="preserve">Juwita, R. dan Aurora A. (2016). Pengaruh Intellectual capital Terhadap Nilai Perusahaan pada Perusahaan Indeks Kompas 100 di Bursa Efek Indonesia. Jurnal Akuntansi, Vol 8. No.1: </w:t>
      </w:r>
    </w:p>
    <w:p w14:paraId="63146DA3" w14:textId="77777777" w:rsidR="00F55CE7" w:rsidRDefault="00F55CE7" w:rsidP="00F55CE7">
      <w:pPr>
        <w:ind w:left="448" w:hanging="448"/>
        <w:jc w:val="both"/>
      </w:pPr>
      <w:r>
        <w:t xml:space="preserve">Loh, L., Thomas, T., &amp; Wang, Y. (2017). Sustainability Reporting and firm value: Evidence from Singapore-listed companies. Sustainability (Switzerland), 9(11), </w:t>
      </w:r>
    </w:p>
    <w:p w14:paraId="33FF3B3D" w14:textId="77777777" w:rsidR="00F55CE7" w:rsidRDefault="00F55CE7" w:rsidP="00F55CE7">
      <w:pPr>
        <w:ind w:left="448" w:hanging="448"/>
        <w:jc w:val="both"/>
      </w:pPr>
      <w:r>
        <w:t xml:space="preserve">Lumoly, Selin, Sri Murni, dan Victoria N. Untu. (2018). Pengaruh Likuiditas, Ukuran Perusahaan dan Profitabilitas terhadap Nilai Perusahaan. </w:t>
      </w:r>
      <w:r w:rsidRPr="008A2965">
        <w:rPr>
          <w:i/>
          <w:iCs/>
        </w:rPr>
        <w:t>Jurnal Riset Ekonomi, Manajemen, Bisnis dan Akuntansi Vol 6, No</w:t>
      </w:r>
      <w:r>
        <w:t xml:space="preserve"> 3, </w:t>
      </w:r>
    </w:p>
    <w:p w14:paraId="7D422434" w14:textId="77777777" w:rsidR="00F55CE7" w:rsidRPr="008A2965" w:rsidRDefault="00F55CE7" w:rsidP="00F55CE7">
      <w:pPr>
        <w:ind w:left="448" w:hanging="448"/>
        <w:jc w:val="both"/>
        <w:rPr>
          <w:i/>
          <w:iCs/>
        </w:rPr>
      </w:pPr>
      <w:r>
        <w:t xml:space="preserve">Octaviany G., Issabella. (2015). Pengaruh Intellectual Capital Disclosure terhadap Nilai Perusahaan dengan Good Corporate Governance sebagai Pemoderasi.  </w:t>
      </w:r>
      <w:r w:rsidRPr="008A2965">
        <w:rPr>
          <w:i/>
          <w:iCs/>
        </w:rPr>
        <w:t>Jurnal TEKUN Vol. VI No. 01.</w:t>
      </w:r>
    </w:p>
    <w:p w14:paraId="0F0F06D1" w14:textId="77777777" w:rsidR="00F55CE7" w:rsidRDefault="00F55CE7" w:rsidP="00F55CE7">
      <w:pPr>
        <w:ind w:left="448" w:hanging="448"/>
        <w:jc w:val="both"/>
      </w:pPr>
      <w:r>
        <w:t xml:space="preserve">Pamungkas, Achmad Sidiq dan Sri Maryati. 2017. </w:t>
      </w:r>
      <w:r w:rsidRPr="008A2965">
        <w:rPr>
          <w:i/>
          <w:iCs/>
        </w:rPr>
        <w:t>Pengaruh Enterprise Risk Management Disclosure, Intellectual Capital Disclosure dan Debt to Asset Ratio Terhadap Nilai Perusaha</w:t>
      </w:r>
      <w:bookmarkStart w:id="2" w:name="_GoBack"/>
      <w:bookmarkEnd w:id="2"/>
      <w:r w:rsidRPr="008A2965">
        <w:rPr>
          <w:i/>
          <w:iCs/>
        </w:rPr>
        <w:t>an</w:t>
      </w:r>
      <w:r>
        <w:t>. Semnas Iib Darmajaya Prosiding. ISSN: 2598 – 0246. EISSN:2598-0238.</w:t>
      </w:r>
    </w:p>
    <w:p w14:paraId="685F3916" w14:textId="77777777" w:rsidR="00F55CE7" w:rsidRDefault="00F55CE7" w:rsidP="00F55CE7">
      <w:pPr>
        <w:ind w:left="448" w:hanging="448"/>
        <w:jc w:val="both"/>
      </w:pPr>
      <w:r>
        <w:t xml:space="preserve">Pertiwi P.J, Tommy P, Tumiwa J P. (2016). Pengaruh Kebijakan Hutang, Keputusan Investasi Dan Profitabilitas Terhadap Nilai Perusahaan Food And Beverages Yang Terdaftar Di Bursa Efek Indonesia. </w:t>
      </w:r>
      <w:r w:rsidRPr="008A2965">
        <w:rPr>
          <w:i/>
          <w:iCs/>
        </w:rPr>
        <w:t>Jurnal EMBA  Vol.4 No.1</w:t>
      </w:r>
      <w:r>
        <w:t xml:space="preserve">. </w:t>
      </w:r>
    </w:p>
    <w:p w14:paraId="1F690C23" w14:textId="77777777" w:rsidR="00F55CE7" w:rsidRPr="008A2965" w:rsidRDefault="00F55CE7" w:rsidP="00F55CE7">
      <w:pPr>
        <w:ind w:left="448" w:hanging="448"/>
        <w:jc w:val="both"/>
        <w:rPr>
          <w:i/>
          <w:iCs/>
        </w:rPr>
      </w:pPr>
      <w:r>
        <w:t xml:space="preserve">Putra, I. G. C. (2012). Pengaruh Modal Intelektual pada Nilai Perusahaan Perbankan yang Go Public di Bursa Efek Indonesia. </w:t>
      </w:r>
      <w:r w:rsidRPr="008A2965">
        <w:rPr>
          <w:i/>
          <w:iCs/>
        </w:rPr>
        <w:t>Jurnal Ilmiah Akuntansi dan Humanika, Singaraja, Vol 2. No.1.</w:t>
      </w:r>
    </w:p>
    <w:p w14:paraId="45C48082" w14:textId="77777777" w:rsidR="00F55CE7" w:rsidRDefault="00F55CE7" w:rsidP="00F55CE7">
      <w:pPr>
        <w:ind w:left="448" w:hanging="448"/>
        <w:jc w:val="both"/>
      </w:pPr>
      <w:r>
        <w:t xml:space="preserve">Puteri, P. A. (2012). </w:t>
      </w:r>
      <w:r w:rsidRPr="008A2965">
        <w:rPr>
          <w:i/>
          <w:iCs/>
        </w:rPr>
        <w:t>Analisis Pengaruh Investment Opportunity Set ( IOS ) dan Mekanisme Corporate Governance Terhadap Kualitas Laba dan Nilai Perusahaan.</w:t>
      </w:r>
      <w:r>
        <w:t xml:space="preserve"> Karya Ilmiah Fakultas Ekonomi Dan Bisnis, Universitas Diponegoro.</w:t>
      </w:r>
    </w:p>
    <w:p w14:paraId="1B5488F0" w14:textId="77777777" w:rsidR="00F55CE7" w:rsidRPr="008A2965" w:rsidRDefault="00F55CE7" w:rsidP="00F55CE7">
      <w:pPr>
        <w:ind w:left="448" w:hanging="448"/>
        <w:jc w:val="both"/>
        <w:rPr>
          <w:i/>
          <w:iCs/>
        </w:rPr>
      </w:pPr>
      <w:r>
        <w:t xml:space="preserve">Ponga, Bogam Tempar &amp; Amanah, Lailatul. (2015). Pengaruh CSR dan Modal Intelektual terhadap Nilai Perusahaan dengan GCG sebagai Pemoderasi. </w:t>
      </w:r>
      <w:r w:rsidRPr="008A2965">
        <w:rPr>
          <w:i/>
          <w:iCs/>
        </w:rPr>
        <w:t>Jurnal Ilmu dan Riset Akuntansi Vol. 4 No. 6.</w:t>
      </w:r>
    </w:p>
    <w:p w14:paraId="0CF33D1F" w14:textId="77777777" w:rsidR="00F55CE7" w:rsidRPr="008A2965" w:rsidRDefault="00F55CE7" w:rsidP="00F55CE7">
      <w:pPr>
        <w:ind w:left="448" w:hanging="448"/>
        <w:jc w:val="both"/>
        <w:rPr>
          <w:i/>
          <w:iCs/>
        </w:rPr>
      </w:pPr>
      <w:r>
        <w:t xml:space="preserve">Renalita, P. T. S., &amp; Wahyudi, S. M. (2019). Analysis the Effect Disclosure of Sustainability Report , Economic Value Added and Other Fundamental Factors of Companies on Company Value. International </w:t>
      </w:r>
      <w:r w:rsidRPr="008A2965">
        <w:rPr>
          <w:i/>
          <w:iCs/>
        </w:rPr>
        <w:t xml:space="preserve">Journal of Academic Research in Accounting, Finance and Management Sciences, 9(2). </w:t>
      </w:r>
    </w:p>
    <w:p w14:paraId="44594F0A" w14:textId="77777777" w:rsidR="00F55CE7" w:rsidRDefault="00F55CE7" w:rsidP="00F55CE7">
      <w:pPr>
        <w:ind w:left="448" w:hanging="448"/>
        <w:jc w:val="both"/>
      </w:pPr>
      <w:r w:rsidRPr="00E27F3B">
        <w:t xml:space="preserve">Ross, S. A., Westerfield, R., &amp; Jaffe, J. F. (2013). </w:t>
      </w:r>
      <w:r w:rsidRPr="008A2965">
        <w:rPr>
          <w:i/>
          <w:iCs/>
        </w:rPr>
        <w:t>Corporate finance</w:t>
      </w:r>
      <w:r w:rsidRPr="00E27F3B">
        <w:t>. Irwin, McGraw-Hill.</w:t>
      </w:r>
    </w:p>
    <w:p w14:paraId="313A1ADC" w14:textId="77777777" w:rsidR="00F55CE7" w:rsidRDefault="00F55CE7" w:rsidP="00F55CE7">
      <w:pPr>
        <w:ind w:left="448" w:hanging="448"/>
        <w:jc w:val="both"/>
      </w:pPr>
    </w:p>
    <w:p w14:paraId="1D2536CD" w14:textId="77777777" w:rsidR="00F55CE7" w:rsidRDefault="00F55CE7" w:rsidP="00F55CE7">
      <w:pPr>
        <w:ind w:left="448" w:hanging="448"/>
        <w:jc w:val="both"/>
      </w:pPr>
      <w:r>
        <w:t>Setyaningrum, D. P. O. &amp; Zulaikha. 2013. Pengaruh Karakteristik Perusahaan Terhadap Luas</w:t>
      </w:r>
    </w:p>
    <w:p w14:paraId="37B417E3" w14:textId="77777777" w:rsidR="00F55CE7" w:rsidRPr="008A2965" w:rsidRDefault="00F55CE7" w:rsidP="00F55CE7">
      <w:pPr>
        <w:ind w:left="448"/>
        <w:jc w:val="both"/>
        <w:rPr>
          <w:i/>
          <w:iCs/>
        </w:rPr>
      </w:pPr>
      <w:r>
        <w:lastRenderedPageBreak/>
        <w:t xml:space="preserve">Pengungkapan Sukarela dan Implikasinya Terhadap Biaya Modal Ekuitas (Studi Empiris pada Perusahaan Manufaktur yang Terdaftar di Bursa Efek Indonesia Tahun 2011). </w:t>
      </w:r>
      <w:r w:rsidRPr="008A2965">
        <w:rPr>
          <w:i/>
          <w:iCs/>
        </w:rPr>
        <w:t>Diponegoro Journal of Accounting, 2 (2)</w:t>
      </w:r>
    </w:p>
    <w:p w14:paraId="47FEB354" w14:textId="77777777" w:rsidR="00F55CE7" w:rsidRDefault="00F55CE7" w:rsidP="00F55CE7">
      <w:pPr>
        <w:ind w:left="448" w:hanging="448"/>
        <w:jc w:val="both"/>
      </w:pPr>
      <w:r>
        <w:t xml:space="preserve">Suryani. (2017). Faktor Keuangan Dan Non-Keuangan Sebagai Determinan Nilai Perusahaan Dengan Good Corporate Governance Sebagai Variabel Pemoderasi  (Pendekatan Partial Least Square Model - Studi Empiris Pada Perusahaan Sektor Industri Barang Konsumsi di Bursa Efek Indonesia Tahun 2012 – 2015). </w:t>
      </w:r>
      <w:r w:rsidRPr="008A2965">
        <w:rPr>
          <w:i/>
          <w:iCs/>
        </w:rPr>
        <w:t>Jurnal Akuntansi dan Keuangan FEB Universitas Budi Luhur. Vol. 6 No. 2</w:t>
      </w:r>
      <w:r>
        <w:rPr>
          <w:i/>
          <w:iCs/>
        </w:rPr>
        <w:t xml:space="preserve">. </w:t>
      </w:r>
      <w:r>
        <w:t>ISSN: 2252 7141</w:t>
      </w:r>
    </w:p>
    <w:p w14:paraId="5B0DADB7" w14:textId="77777777" w:rsidR="00F55CE7" w:rsidRDefault="00F55CE7" w:rsidP="00F55CE7">
      <w:pPr>
        <w:ind w:left="448" w:hanging="448"/>
        <w:jc w:val="both"/>
      </w:pPr>
      <w:r>
        <w:t xml:space="preserve">Solikhah, B.., A. Rohman dan W. Meiranto. (2010). </w:t>
      </w:r>
      <w:r w:rsidRPr="008A2965">
        <w:rPr>
          <w:i/>
          <w:iCs/>
        </w:rPr>
        <w:t>Implikasi Intellectual capital Terhadap Financial Performance, Growth, dan Market Value: Studi Empiris Dengan Pendekatan Simplistic Specification</w:t>
      </w:r>
      <w:r>
        <w:t xml:space="preserve">. Simposium Nasional Akuntansi XIII. Purwokerto: 13-14 Oktober.  </w:t>
      </w:r>
    </w:p>
    <w:p w14:paraId="20D00DB5" w14:textId="77777777" w:rsidR="00F55CE7" w:rsidRDefault="00F55CE7" w:rsidP="00F55CE7">
      <w:pPr>
        <w:ind w:left="448" w:hanging="448"/>
        <w:jc w:val="both"/>
      </w:pPr>
      <w:r>
        <w:t xml:space="preserve">Ulum, I. (2017). </w:t>
      </w:r>
      <w:r w:rsidRPr="008A2965">
        <w:rPr>
          <w:i/>
          <w:iCs/>
        </w:rPr>
        <w:t>Intellectual Capital : Model Pengukuran, Framework Pengungkapan &amp; Kinerja Organisasi</w:t>
      </w:r>
      <w:r>
        <w:t>. In Akuntansi</w:t>
      </w:r>
    </w:p>
    <w:p w14:paraId="74A404A4" w14:textId="77777777" w:rsidR="00F55CE7" w:rsidRDefault="00F55CE7" w:rsidP="00F55CE7">
      <w:pPr>
        <w:ind w:left="448" w:hanging="448"/>
        <w:jc w:val="both"/>
      </w:pPr>
      <w:r>
        <w:t xml:space="preserve">Ulum, I., (2015), </w:t>
      </w:r>
      <w:r w:rsidRPr="004C5F04">
        <w:rPr>
          <w:i/>
          <w:iCs/>
        </w:rPr>
        <w:t>Intellectual Capital Konsep dan Kajian Empiris</w:t>
      </w:r>
      <w:r>
        <w:t>. Yogyakarta : Graha Ilmu,.</w:t>
      </w:r>
    </w:p>
    <w:p w14:paraId="3383B3A6" w14:textId="77777777" w:rsidR="00F55CE7" w:rsidRPr="008A2965" w:rsidRDefault="00F55CE7" w:rsidP="00F55CE7">
      <w:pPr>
        <w:ind w:left="448" w:hanging="448"/>
        <w:jc w:val="both"/>
        <w:rPr>
          <w:i/>
          <w:iCs/>
        </w:rPr>
      </w:pPr>
      <w:r>
        <w:t xml:space="preserve">Widiastari, P. A., &amp; Yasa, G. W. (2018). Pengaruh Profitabilitas, Free Cash Flow,  dan Ukuran Perusahaan Terhadap Nilai Perusahaan. </w:t>
      </w:r>
      <w:r w:rsidRPr="008A2965">
        <w:rPr>
          <w:i/>
          <w:iCs/>
        </w:rPr>
        <w:t>E-Jurnal Akuntansi Universitas Udayana Vol.23 No.2. ISSN: 2302-8556.</w:t>
      </w:r>
    </w:p>
    <w:p w14:paraId="5E8FB17B" w14:textId="77777777" w:rsidR="00F55CE7" w:rsidRDefault="00F55CE7" w:rsidP="00F55CE7">
      <w:pPr>
        <w:ind w:left="448" w:hanging="448"/>
        <w:jc w:val="both"/>
      </w:pPr>
    </w:p>
    <w:p w14:paraId="4998B524" w14:textId="77777777" w:rsidR="00F55CE7" w:rsidRPr="001C19EE" w:rsidRDefault="00F55CE7" w:rsidP="00F55CE7">
      <w:pPr>
        <w:jc w:val="both"/>
        <w:rPr>
          <w:rFonts w:eastAsiaTheme="minorEastAsia"/>
        </w:rPr>
      </w:pPr>
    </w:p>
    <w:p w14:paraId="0E8B0A78" w14:textId="77777777" w:rsidR="00F55CE7" w:rsidRPr="00F55CE7" w:rsidRDefault="00F55CE7" w:rsidP="00F55CE7">
      <w:pPr>
        <w:jc w:val="both"/>
        <w:rPr>
          <w:bCs/>
          <w:sz w:val="22"/>
          <w:lang w:val="en-US"/>
        </w:rPr>
      </w:pPr>
    </w:p>
    <w:sectPr w:rsidR="00F55CE7" w:rsidRPr="00F55C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5C79CFA"/>
    <w:multiLevelType w:val="hybridMultilevel"/>
    <w:tmpl w:val="B3F922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A20BF"/>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B40052"/>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13E742A"/>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67F15F3"/>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B221231"/>
    <w:multiLevelType w:val="hybridMultilevel"/>
    <w:tmpl w:val="064831B8"/>
    <w:lvl w:ilvl="0" w:tplc="6C322E6E">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54F04D19"/>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A311E2E"/>
    <w:multiLevelType w:val="multilevel"/>
    <w:tmpl w:val="EBC47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CF417C2"/>
    <w:multiLevelType w:val="hybridMultilevel"/>
    <w:tmpl w:val="121069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7"/>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EA"/>
    <w:rsid w:val="000406FC"/>
    <w:rsid w:val="0004136D"/>
    <w:rsid w:val="00044A81"/>
    <w:rsid w:val="00247AB6"/>
    <w:rsid w:val="002C13AB"/>
    <w:rsid w:val="0032161C"/>
    <w:rsid w:val="003A53FB"/>
    <w:rsid w:val="004B6C5B"/>
    <w:rsid w:val="005E42F1"/>
    <w:rsid w:val="0067532C"/>
    <w:rsid w:val="00726EDD"/>
    <w:rsid w:val="00737F00"/>
    <w:rsid w:val="00773BC2"/>
    <w:rsid w:val="008703EA"/>
    <w:rsid w:val="00906701"/>
    <w:rsid w:val="00912A6B"/>
    <w:rsid w:val="00926D7E"/>
    <w:rsid w:val="009B7FE5"/>
    <w:rsid w:val="009C61D8"/>
    <w:rsid w:val="00B808B8"/>
    <w:rsid w:val="00B8116E"/>
    <w:rsid w:val="00C666D5"/>
    <w:rsid w:val="00D46D5B"/>
    <w:rsid w:val="00DF7FE6"/>
    <w:rsid w:val="00F346C4"/>
    <w:rsid w:val="00F55CE7"/>
    <w:rsid w:val="00FC7A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C67F"/>
  <w15:chartTrackingRefBased/>
  <w15:docId w15:val="{5552546B-59DB-4C02-86AB-72FF5A16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3EA"/>
    <w:pPr>
      <w:spacing w:after="0" w:line="240" w:lineRule="auto"/>
    </w:pPr>
    <w:rPr>
      <w:rFonts w:ascii="Times New Roman" w:hAnsi="Times New Roman" w:cs="Times New Roman"/>
      <w:sz w:val="24"/>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3EA"/>
    <w:rPr>
      <w:color w:val="0563C1" w:themeColor="hyperlink"/>
      <w:u w:val="single"/>
    </w:rPr>
  </w:style>
  <w:style w:type="character" w:styleId="UnresolvedMention">
    <w:name w:val="Unresolved Mention"/>
    <w:basedOn w:val="DefaultParagraphFont"/>
    <w:uiPriority w:val="99"/>
    <w:semiHidden/>
    <w:unhideWhenUsed/>
    <w:rsid w:val="008703EA"/>
    <w:rPr>
      <w:color w:val="605E5C"/>
      <w:shd w:val="clear" w:color="auto" w:fill="E1DFDD"/>
    </w:rPr>
  </w:style>
  <w:style w:type="paragraph" w:styleId="ListParagraph">
    <w:name w:val="List Paragraph"/>
    <w:basedOn w:val="Normal"/>
    <w:uiPriority w:val="34"/>
    <w:qFormat/>
    <w:rsid w:val="003A53FB"/>
    <w:pPr>
      <w:ind w:left="720"/>
      <w:contextualSpacing/>
    </w:pPr>
  </w:style>
  <w:style w:type="paragraph" w:customStyle="1" w:styleId="Default">
    <w:name w:val="Default"/>
    <w:rsid w:val="003A53F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8116E"/>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06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788308">
      <w:bodyDiv w:val="1"/>
      <w:marLeft w:val="0"/>
      <w:marRight w:val="0"/>
      <w:marTop w:val="0"/>
      <w:marBottom w:val="0"/>
      <w:divBdr>
        <w:top w:val="none" w:sz="0" w:space="0" w:color="auto"/>
        <w:left w:val="none" w:sz="0" w:space="0" w:color="auto"/>
        <w:bottom w:val="none" w:sz="0" w:space="0" w:color="auto"/>
        <w:right w:val="none" w:sz="0" w:space="0" w:color="auto"/>
      </w:divBdr>
    </w:div>
    <w:div w:id="172258883">
      <w:bodyDiv w:val="1"/>
      <w:marLeft w:val="0"/>
      <w:marRight w:val="0"/>
      <w:marTop w:val="0"/>
      <w:marBottom w:val="0"/>
      <w:divBdr>
        <w:top w:val="none" w:sz="0" w:space="0" w:color="auto"/>
        <w:left w:val="none" w:sz="0" w:space="0" w:color="auto"/>
        <w:bottom w:val="none" w:sz="0" w:space="0" w:color="auto"/>
        <w:right w:val="none" w:sz="0" w:space="0" w:color="auto"/>
      </w:divBdr>
    </w:div>
    <w:div w:id="1020546920">
      <w:bodyDiv w:val="1"/>
      <w:marLeft w:val="0"/>
      <w:marRight w:val="0"/>
      <w:marTop w:val="0"/>
      <w:marBottom w:val="0"/>
      <w:divBdr>
        <w:top w:val="none" w:sz="0" w:space="0" w:color="auto"/>
        <w:left w:val="none" w:sz="0" w:space="0" w:color="auto"/>
        <w:bottom w:val="none" w:sz="0" w:space="0" w:color="auto"/>
        <w:right w:val="none" w:sz="0" w:space="0" w:color="auto"/>
      </w:divBdr>
    </w:div>
    <w:div w:id="170459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ledy.setiawati@feb.unmul.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1299</TotalTime>
  <Pages>12</Pages>
  <Words>5007</Words>
  <Characters>28543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ledy hasan</dc:creator>
  <cp:keywords/>
  <dc:description/>
  <cp:lastModifiedBy>ledy hasan</cp:lastModifiedBy>
  <cp:revision>6</cp:revision>
  <dcterms:created xsi:type="dcterms:W3CDTF">2021-10-03T14:32:00Z</dcterms:created>
  <dcterms:modified xsi:type="dcterms:W3CDTF">2021-10-04T13:40:00Z</dcterms:modified>
</cp:coreProperties>
</file>