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E46" w:rsidRDefault="00D672AF" w:rsidP="00C862C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DAMPAK PANDEMI COVID 19 TERHADAP KUALITAS MANUSIA INDONESIA</w:t>
      </w:r>
    </w:p>
    <w:p w:rsidR="00C862CB" w:rsidRPr="00C862CB" w:rsidRDefault="00C862CB" w:rsidP="00C862CB">
      <w:pPr>
        <w:pStyle w:val="NoSpacing"/>
        <w:jc w:val="center"/>
        <w:rPr>
          <w:rFonts w:ascii="Times New Roman" w:hAnsi="Times New Roman" w:cs="Times New Roman"/>
          <w:sz w:val="20"/>
          <w:szCs w:val="20"/>
        </w:rPr>
      </w:pPr>
      <w:r>
        <w:rPr>
          <w:rFonts w:ascii="Times New Roman" w:hAnsi="Times New Roman" w:cs="Times New Roman"/>
          <w:sz w:val="20"/>
          <w:szCs w:val="20"/>
        </w:rPr>
        <w:t>Saripah Nurfil</w:t>
      </w:r>
      <w:r w:rsidRPr="00C862CB">
        <w:rPr>
          <w:rFonts w:ascii="Times New Roman" w:hAnsi="Times New Roman" w:cs="Times New Roman"/>
          <w:sz w:val="20"/>
          <w:szCs w:val="20"/>
        </w:rPr>
        <w:t>ah¹, Sonyaruri Satiti²</w:t>
      </w:r>
    </w:p>
    <w:p w:rsidR="00C862CB" w:rsidRPr="00C862CB" w:rsidRDefault="00C862CB" w:rsidP="00C862CB">
      <w:pPr>
        <w:pStyle w:val="NoSpacing"/>
        <w:jc w:val="center"/>
        <w:rPr>
          <w:rFonts w:ascii="Times New Roman" w:hAnsi="Times New Roman" w:cs="Times New Roman"/>
          <w:sz w:val="20"/>
          <w:szCs w:val="20"/>
        </w:rPr>
      </w:pPr>
      <w:r w:rsidRPr="00C862CB">
        <w:rPr>
          <w:rFonts w:ascii="Times New Roman" w:hAnsi="Times New Roman" w:cs="Times New Roman"/>
          <w:sz w:val="20"/>
          <w:szCs w:val="20"/>
        </w:rPr>
        <w:t>¹Department of Agribusiness, Faculty of Agriculture, Mulawarman University</w:t>
      </w:r>
    </w:p>
    <w:p w:rsidR="00C862CB" w:rsidRPr="00C862CB" w:rsidRDefault="00C862CB" w:rsidP="00C862CB">
      <w:pPr>
        <w:pStyle w:val="NoSpacing"/>
        <w:jc w:val="center"/>
        <w:rPr>
          <w:rFonts w:ascii="Times New Roman" w:hAnsi="Times New Roman" w:cs="Times New Roman"/>
          <w:sz w:val="20"/>
          <w:szCs w:val="20"/>
        </w:rPr>
      </w:pPr>
      <w:r w:rsidRPr="00C862CB">
        <w:rPr>
          <w:rFonts w:ascii="Times New Roman" w:hAnsi="Times New Roman" w:cs="Times New Roman"/>
          <w:sz w:val="20"/>
          <w:szCs w:val="20"/>
        </w:rPr>
        <w:t>²Center for Population and Policy Studies, Universitas Gadjah Mada</w:t>
      </w:r>
    </w:p>
    <w:p w:rsidR="00D672AF" w:rsidRPr="00C862CB" w:rsidRDefault="00C862CB" w:rsidP="00C862CB">
      <w:pPr>
        <w:pStyle w:val="NoSpacing"/>
        <w:jc w:val="center"/>
        <w:rPr>
          <w:rFonts w:ascii="Times New Roman" w:hAnsi="Times New Roman" w:cs="Times New Roman"/>
          <w:sz w:val="20"/>
          <w:szCs w:val="20"/>
        </w:rPr>
      </w:pPr>
      <w:r w:rsidRPr="00C862CB">
        <w:rPr>
          <w:rFonts w:ascii="Times New Roman" w:hAnsi="Times New Roman" w:cs="Times New Roman"/>
          <w:sz w:val="20"/>
          <w:szCs w:val="20"/>
        </w:rPr>
        <w:t>Email: Saripahnurfilah@gmail.com</w:t>
      </w:r>
    </w:p>
    <w:p w:rsidR="00C862CB" w:rsidRDefault="00C862CB" w:rsidP="00330020">
      <w:pPr>
        <w:pStyle w:val="NoSpacing"/>
        <w:spacing w:line="360" w:lineRule="auto"/>
        <w:jc w:val="both"/>
        <w:rPr>
          <w:rFonts w:ascii="Times New Roman" w:hAnsi="Times New Roman" w:cs="Times New Roman"/>
          <w:sz w:val="24"/>
          <w:szCs w:val="24"/>
        </w:rPr>
      </w:pPr>
    </w:p>
    <w:p w:rsidR="00C862CB" w:rsidRDefault="00C862CB" w:rsidP="00330020">
      <w:pPr>
        <w:pStyle w:val="NoSpacing"/>
        <w:spacing w:line="360" w:lineRule="auto"/>
        <w:jc w:val="both"/>
        <w:rPr>
          <w:rFonts w:ascii="Times New Roman" w:hAnsi="Times New Roman" w:cs="Times New Roman"/>
          <w:sz w:val="24"/>
          <w:szCs w:val="24"/>
        </w:rPr>
      </w:pPr>
    </w:p>
    <w:p w:rsidR="00C862CB" w:rsidRDefault="00C862CB" w:rsidP="00C862CB">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D672AF" w:rsidRPr="00D672AF" w:rsidRDefault="00D672AF" w:rsidP="00330020">
      <w:pPr>
        <w:pStyle w:val="NoSpacing"/>
        <w:spacing w:line="360" w:lineRule="auto"/>
        <w:jc w:val="both"/>
        <w:rPr>
          <w:rFonts w:ascii="Times New Roman" w:hAnsi="Times New Roman" w:cs="Times New Roman"/>
          <w:sz w:val="24"/>
          <w:szCs w:val="24"/>
        </w:rPr>
      </w:pPr>
      <w:r w:rsidRPr="00D672AF">
        <w:rPr>
          <w:rFonts w:ascii="Times New Roman" w:hAnsi="Times New Roman" w:cs="Times New Roman"/>
          <w:sz w:val="24"/>
          <w:szCs w:val="24"/>
        </w:rPr>
        <w:t>Pandemi COVID-19 yang melanda dunia telah membawa berbagai dampak bagi kehidupan manusia, termasuk capaian pembangunan manusia. Beberapa negara di dunia diperkirakan mengalami perlambatan pertumbuhan IPM, bahkan ada yang mengalami penurunan akibat pandemi. Indonesia juga tidak luput dari pandemi ini, IPM Indonesia pada tahun 2020 tumbuh lebih lambat dari tahun sebelumnya. Penelitian ini merupakan analisis data sekunder Indeks Pembangunan Manusia (IPM) Indonesia yang dikeluarkan oleh Badan Pusat Statistik. Hasil kajian menunjukkan bahwa tantangan perlambatan pertumbuhan IPM selama pandemi COVID-19 terutama disebabkan oleh melambatnya pertumbuhan usia harapan hidup dan pendidikan, serta menurunnya belanja riil per kapita akibat kontraksi pertumbuhan ekonomi. Indeks Pembangunan Manusia (IPM) Indonesia hanya naik 0,03 persen pada 2020 dibandingkan 2019. Hal ini dipengaruhi oleh penurunan belanja per kapita akibat melemahnya perekonomian nasional.</w:t>
      </w:r>
    </w:p>
    <w:p w:rsidR="004A6920" w:rsidRDefault="004A6920" w:rsidP="00330020">
      <w:pPr>
        <w:pStyle w:val="NoSpacing"/>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Kata kunci : Covid-19,kualitas, manusia, Indonesia </w:t>
      </w: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330020" w:rsidRDefault="00330020" w:rsidP="00330020">
      <w:pPr>
        <w:pStyle w:val="NoSpacing"/>
        <w:spacing w:line="360" w:lineRule="auto"/>
        <w:jc w:val="both"/>
        <w:rPr>
          <w:rFonts w:ascii="Times New Roman" w:hAnsi="Times New Roman" w:cs="Times New Roman"/>
          <w:i/>
          <w:iCs/>
          <w:sz w:val="24"/>
          <w:szCs w:val="24"/>
        </w:rPr>
      </w:pPr>
    </w:p>
    <w:p w:rsidR="00C862CB" w:rsidRDefault="00C862CB" w:rsidP="00330020">
      <w:pPr>
        <w:pStyle w:val="NoSpacing"/>
        <w:spacing w:line="360" w:lineRule="auto"/>
        <w:jc w:val="both"/>
        <w:rPr>
          <w:rFonts w:ascii="Times New Roman" w:hAnsi="Times New Roman" w:cs="Times New Roman"/>
          <w:i/>
          <w:iCs/>
          <w:sz w:val="24"/>
          <w:szCs w:val="24"/>
        </w:rPr>
      </w:pPr>
      <w:bookmarkStart w:id="0" w:name="_GoBack"/>
      <w:bookmarkEnd w:id="0"/>
    </w:p>
    <w:p w:rsidR="00330020" w:rsidRDefault="00330020" w:rsidP="00330020">
      <w:pPr>
        <w:pStyle w:val="NoSpacing"/>
        <w:spacing w:line="360" w:lineRule="auto"/>
        <w:jc w:val="both"/>
        <w:rPr>
          <w:rFonts w:ascii="Times New Roman" w:hAnsi="Times New Roman" w:cs="Times New Roman"/>
          <w:sz w:val="24"/>
          <w:szCs w:val="24"/>
        </w:rPr>
      </w:pPr>
    </w:p>
    <w:p w:rsidR="004A6920" w:rsidRDefault="004A6920" w:rsidP="00330020">
      <w:pPr>
        <w:pStyle w:val="NoSpacing"/>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Pengantar</w:t>
      </w:r>
    </w:p>
    <w:p w:rsidR="004A6920" w:rsidRDefault="004A6920" w:rsidP="00330020">
      <w:pPr>
        <w:pStyle w:val="NoSpacing"/>
        <w:spacing w:line="360" w:lineRule="auto"/>
        <w:ind w:left="426" w:firstLine="294"/>
        <w:jc w:val="both"/>
        <w:rPr>
          <w:rFonts w:ascii="Times New Roman" w:hAnsi="Times New Roman" w:cs="Times New Roman"/>
          <w:sz w:val="24"/>
          <w:szCs w:val="24"/>
        </w:rPr>
      </w:pPr>
      <w:r w:rsidRPr="004A6920">
        <w:rPr>
          <w:rFonts w:ascii="Times New Roman" w:hAnsi="Times New Roman" w:cs="Times New Roman"/>
          <w:sz w:val="24"/>
          <w:szCs w:val="24"/>
        </w:rPr>
        <w:t>Konsep pembangunan manusia pertama kali diperkenalkan oleh United Nations Development Programme (UNDP) pada tahun 1990 melalui laporan Human Development Report (HDR). Munculnya gagasan pembangunan manusia yang dikemukakan oleh UNDP tidak hanya menempatkan manusia sebagai input pembangunan tetapi juga menjadi tujuan akhir dari pembangunan, yaitu menciptakan lingkungan yang memungkinkan bagi masyarakat untuk produktif sehingga</w:t>
      </w:r>
      <w:r>
        <w:rPr>
          <w:rFonts w:ascii="Times New Roman" w:hAnsi="Times New Roman" w:cs="Times New Roman"/>
          <w:sz w:val="24"/>
          <w:szCs w:val="24"/>
        </w:rPr>
        <w:t xml:space="preserve"> mereka</w:t>
      </w:r>
      <w:r w:rsidRPr="004A6920">
        <w:rPr>
          <w:rFonts w:ascii="Times New Roman" w:hAnsi="Times New Roman" w:cs="Times New Roman"/>
          <w:sz w:val="24"/>
          <w:szCs w:val="24"/>
        </w:rPr>
        <w:t xml:space="preserve"> dapat berumur panjang dan sehat, menguasai pengetahuan, dan memenuhi standar hidup</w:t>
      </w:r>
      <w:r>
        <w:rPr>
          <w:rFonts w:ascii="Times New Roman" w:hAnsi="Times New Roman" w:cs="Times New Roman"/>
          <w:sz w:val="24"/>
          <w:szCs w:val="24"/>
        </w:rPr>
        <w:t xml:space="preserve"> </w:t>
      </w:r>
      <w:r w:rsidRPr="004A6920">
        <w:rPr>
          <w:rFonts w:ascii="Times New Roman" w:hAnsi="Times New Roman" w:cs="Times New Roman"/>
          <w:sz w:val="24"/>
          <w:szCs w:val="24"/>
        </w:rPr>
        <w:t>layak. Laporan Pembangunan Manusia juga memberikan rekomendasi untuk mengukur pembangunan manusia, yang dikenal sebagai Indeks Pembangunan Manusia (IPM). Sejak tahun 2014, Indonesia telah menerapkan metode penghitungan IPM terbaru untuk menghitung IPM yang disajikan secara berkala setiap tahun di tingkat nasional, provinsi, dan kabupaten/kota.</w:t>
      </w:r>
    </w:p>
    <w:p w:rsidR="00633F13" w:rsidRDefault="00633F13" w:rsidP="00330020">
      <w:pPr>
        <w:pStyle w:val="NoSpacing"/>
        <w:spacing w:line="360" w:lineRule="auto"/>
        <w:ind w:left="426" w:firstLine="294"/>
        <w:jc w:val="both"/>
        <w:rPr>
          <w:rFonts w:ascii="Times New Roman" w:hAnsi="Times New Roman" w:cs="Times New Roman"/>
          <w:sz w:val="24"/>
          <w:szCs w:val="24"/>
        </w:rPr>
      </w:pPr>
      <w:r w:rsidRPr="00633F13">
        <w:rPr>
          <w:rFonts w:ascii="Times New Roman" w:hAnsi="Times New Roman" w:cs="Times New Roman"/>
          <w:sz w:val="24"/>
          <w:szCs w:val="24"/>
        </w:rPr>
        <w:t>Pandemi COVID-19 yang melanda hampir seluruh negara di dunia telah memberikan dampak yang luas terhadap berbagai aspek kehidupan masyarakat. Semua indikator makroekonomi dan sosial juga mengalami tekanan berat, termasuk IPM. Pertumbuhan IPM Indonesia pada tahun 2020 mengalami perlambatan yang cukup signifikan dengan hanya tumbuh sebesar 0,03 persen, jauh lebih lambat dari pertumbuhan tahun sebelumnya sebesar 0,74 persen. Perlambatan ini disebabkan oleh penurunan dimensi standar hidup layak yang diwakili oleh variabel pengeluaran per kapita riil yang disesuaikan, sedangkan dimensi umur panjang dan hidup sehat dan pengetahuan diwakili oleh variabel Harapan Hidup Saat Lahir (UHH) dan Harapan Lama Sekolah (SLT) dan Rata-Rata Lama Sekolah (RLS) masih meningkat, meskipun pertumbuhannya melambat.</w:t>
      </w:r>
    </w:p>
    <w:p w:rsidR="00633F13" w:rsidRPr="00633F13" w:rsidRDefault="00633F13" w:rsidP="00330020">
      <w:pPr>
        <w:pStyle w:val="NoSpacing"/>
        <w:spacing w:line="360" w:lineRule="auto"/>
        <w:ind w:left="426" w:firstLine="294"/>
        <w:jc w:val="both"/>
        <w:rPr>
          <w:rFonts w:ascii="Times New Roman" w:hAnsi="Times New Roman" w:cs="Times New Roman"/>
          <w:sz w:val="24"/>
          <w:szCs w:val="24"/>
        </w:rPr>
      </w:pPr>
      <w:r w:rsidRPr="00633F13">
        <w:rPr>
          <w:rFonts w:ascii="Times New Roman" w:hAnsi="Times New Roman" w:cs="Times New Roman"/>
          <w:sz w:val="24"/>
          <w:szCs w:val="24"/>
        </w:rPr>
        <w:t>Perlambatan pertumbuhan IPM pada tahun 2020 juga dialami oleh seluruh provinsi. Dari sisi posisi, perbandingan IPM antarprovinsi tidak banyak berubah. Pencapaian IPM tertinggi masih diraih Provinsi DKI Jakarta (80,77), sedangkan pencapaian terendah diduduki Provinsi Papua (60,44). Jika dibandingkan dengan angka nasional, ada 11 provinsi yang memiliki capaian IPM di atas angka nasional. Pada tahun 2020 terdapat 24 provinsi yang mengalami peningkatan IPM, sedangkan 10 provinsi lainnya mengalami penurunan.</w:t>
      </w:r>
    </w:p>
    <w:p w:rsidR="00633F13" w:rsidRDefault="00633F13" w:rsidP="00330020">
      <w:pPr>
        <w:pStyle w:val="NoSpacing"/>
        <w:spacing w:line="360" w:lineRule="auto"/>
        <w:ind w:left="426" w:firstLine="294"/>
        <w:jc w:val="both"/>
        <w:rPr>
          <w:rFonts w:ascii="Times New Roman" w:hAnsi="Times New Roman" w:cs="Times New Roman"/>
          <w:sz w:val="24"/>
          <w:szCs w:val="24"/>
        </w:rPr>
      </w:pPr>
      <w:r w:rsidRPr="00633F13">
        <w:rPr>
          <w:rFonts w:ascii="Times New Roman" w:hAnsi="Times New Roman" w:cs="Times New Roman"/>
          <w:sz w:val="24"/>
          <w:szCs w:val="24"/>
        </w:rPr>
        <w:t xml:space="preserve">Jika dilihat dari persebaran pembangunan manusia, dalam satu dekade terakhir kesenjangan capaian pembangunan manusia antar wilayah di Indonesia sudah mulai berkurang, meskipun dengan laju yang relatif lambat. Pada periode 2010-2020, </w:t>
      </w:r>
      <w:r w:rsidR="00C767C3">
        <w:rPr>
          <w:rFonts w:ascii="Times New Roman" w:hAnsi="Times New Roman" w:cs="Times New Roman"/>
          <w:sz w:val="24"/>
          <w:szCs w:val="24"/>
        </w:rPr>
        <w:t xml:space="preserve">perbedaan </w:t>
      </w:r>
      <w:r w:rsidRPr="00633F13">
        <w:rPr>
          <w:rFonts w:ascii="Times New Roman" w:hAnsi="Times New Roman" w:cs="Times New Roman"/>
          <w:sz w:val="24"/>
          <w:szCs w:val="24"/>
        </w:rPr>
        <w:t>IPM antar</w:t>
      </w:r>
      <w:r w:rsidR="00C767C3">
        <w:rPr>
          <w:rFonts w:ascii="Times New Roman" w:hAnsi="Times New Roman" w:cs="Times New Roman"/>
          <w:sz w:val="24"/>
          <w:szCs w:val="24"/>
        </w:rPr>
        <w:t xml:space="preserve"> </w:t>
      </w:r>
      <w:r w:rsidRPr="00633F13">
        <w:rPr>
          <w:rFonts w:ascii="Times New Roman" w:hAnsi="Times New Roman" w:cs="Times New Roman"/>
          <w:sz w:val="24"/>
          <w:szCs w:val="24"/>
        </w:rPr>
        <w:t>provinsi jauh lebih rendah dibandingkan</w:t>
      </w:r>
      <w:r w:rsidR="00C767C3">
        <w:rPr>
          <w:rFonts w:ascii="Times New Roman" w:hAnsi="Times New Roman" w:cs="Times New Roman"/>
          <w:sz w:val="24"/>
          <w:szCs w:val="24"/>
        </w:rPr>
        <w:t xml:space="preserve"> perbedaan</w:t>
      </w:r>
      <w:r w:rsidRPr="00633F13">
        <w:rPr>
          <w:rFonts w:ascii="Times New Roman" w:hAnsi="Times New Roman" w:cs="Times New Roman"/>
          <w:sz w:val="24"/>
          <w:szCs w:val="24"/>
        </w:rPr>
        <w:t xml:space="preserve"> IPM kabupaten/kota. Namun, penurunan </w:t>
      </w:r>
      <w:r w:rsidR="00C767C3">
        <w:rPr>
          <w:rFonts w:ascii="Times New Roman" w:hAnsi="Times New Roman" w:cs="Times New Roman"/>
          <w:sz w:val="24"/>
          <w:szCs w:val="24"/>
        </w:rPr>
        <w:t>perbedaan</w:t>
      </w:r>
      <w:r w:rsidRPr="00633F13">
        <w:rPr>
          <w:rFonts w:ascii="Times New Roman" w:hAnsi="Times New Roman" w:cs="Times New Roman"/>
          <w:sz w:val="24"/>
          <w:szCs w:val="24"/>
        </w:rPr>
        <w:t xml:space="preserve"> di tingkat kabupaten/kota lebih terlihat.</w:t>
      </w:r>
      <w:r w:rsidR="00C767C3">
        <w:rPr>
          <w:rFonts w:ascii="Times New Roman" w:hAnsi="Times New Roman" w:cs="Times New Roman"/>
          <w:sz w:val="24"/>
          <w:szCs w:val="24"/>
        </w:rPr>
        <w:t xml:space="preserve"> </w:t>
      </w:r>
    </w:p>
    <w:p w:rsidR="00633F13" w:rsidRPr="004A6920" w:rsidRDefault="00C767C3" w:rsidP="00330020">
      <w:pPr>
        <w:pStyle w:val="NoSpacing"/>
        <w:spacing w:line="360" w:lineRule="auto"/>
        <w:ind w:left="426" w:firstLine="294"/>
        <w:jc w:val="both"/>
        <w:rPr>
          <w:rFonts w:ascii="Times New Roman" w:hAnsi="Times New Roman" w:cs="Times New Roman"/>
          <w:sz w:val="24"/>
          <w:szCs w:val="24"/>
        </w:rPr>
      </w:pPr>
      <w:r w:rsidRPr="00C767C3">
        <w:rPr>
          <w:rFonts w:ascii="Times New Roman" w:hAnsi="Times New Roman" w:cs="Times New Roman"/>
          <w:sz w:val="24"/>
          <w:szCs w:val="24"/>
        </w:rPr>
        <w:t>Peningkatan pembangunan manusia memerlukan upaya yang tepat dan terkoordinasi serta saling mendukung antar bidang. Pandemi COVID-19 yang mempengaruhi hampir semua aspek kehidupan manusia menjadi tantangan bagi pembangunan manusia di Indonesia. Oleh karena itu, kebersamaan seluruh elemen bangsa sangat dibutuhkan untuk mengatasi tantangan tersebut dalam upaya mewujudkan pembangunan manusia yang lebih baik dan berkelanjutan.</w:t>
      </w:r>
    </w:p>
    <w:p w:rsidR="004A6920" w:rsidRDefault="004A6920" w:rsidP="00330020">
      <w:pPr>
        <w:pStyle w:val="NoSpacing"/>
        <w:spacing w:line="360" w:lineRule="auto"/>
        <w:ind w:left="426"/>
        <w:jc w:val="both"/>
        <w:rPr>
          <w:rFonts w:ascii="Times New Roman" w:hAnsi="Times New Roman" w:cs="Times New Roman"/>
          <w:sz w:val="24"/>
          <w:szCs w:val="24"/>
        </w:rPr>
      </w:pPr>
    </w:p>
    <w:p w:rsidR="004A6920" w:rsidRDefault="00C767C3" w:rsidP="00330020">
      <w:pPr>
        <w:pStyle w:val="NoSpacing"/>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Bahan dan Metode</w:t>
      </w:r>
    </w:p>
    <w:p w:rsidR="00C767C3" w:rsidRDefault="00C767C3" w:rsidP="00330020">
      <w:pPr>
        <w:pStyle w:val="NoSpacing"/>
        <w:spacing w:line="360" w:lineRule="auto"/>
        <w:ind w:left="426" w:firstLine="294"/>
        <w:jc w:val="both"/>
        <w:rPr>
          <w:rFonts w:ascii="Times New Roman" w:hAnsi="Times New Roman" w:cs="Times New Roman"/>
          <w:sz w:val="24"/>
          <w:szCs w:val="24"/>
        </w:rPr>
      </w:pPr>
      <w:r w:rsidRPr="00C767C3">
        <w:rPr>
          <w:rFonts w:ascii="Times New Roman" w:hAnsi="Times New Roman" w:cs="Times New Roman"/>
          <w:sz w:val="24"/>
          <w:szCs w:val="24"/>
        </w:rPr>
        <w:t>Sejak tahun 2014 angka IPM di Indonesia disajikan secara berkala setiap tahun di tingkat nasional, provinsi, dan kabupaten/kota. Pencapaian pembangunan manusia di suatu daerah pada waktu tertentu dapat dikelompokkan menjadi empat kelompok sesuai dengan status pencapaiannya. Pengelompokannya adalah: 1. sangat tinggi: IPM 80; 2. tinggi : 70 IPM &lt; 80; dan 3. sedang : 60 IPM &lt; 70 4. rendah : IPM &lt; 60.</w:t>
      </w:r>
    </w:p>
    <w:p w:rsidR="00C767C3" w:rsidRDefault="00C767C3" w:rsidP="00330020">
      <w:pPr>
        <w:pStyle w:val="NoSpacing"/>
        <w:spacing w:line="360" w:lineRule="auto"/>
        <w:ind w:left="426" w:firstLine="294"/>
        <w:jc w:val="both"/>
        <w:rPr>
          <w:rFonts w:ascii="Times New Roman" w:hAnsi="Times New Roman" w:cs="Times New Roman"/>
          <w:sz w:val="24"/>
          <w:szCs w:val="24"/>
        </w:rPr>
      </w:pPr>
      <w:r w:rsidRPr="00C767C3">
        <w:rPr>
          <w:rFonts w:ascii="Times New Roman" w:hAnsi="Times New Roman" w:cs="Times New Roman"/>
          <w:sz w:val="24"/>
          <w:szCs w:val="24"/>
        </w:rPr>
        <w:t xml:space="preserve">Perhitungan IPM di Indonesia dimulai pada tahun 1996. Saat itu IPM dihitung secara periodik setiap tiga tahun sekali. Namun, sejak tahun 2004, IPM telah dihitung secara berkala setiap tahun untuk memenuhi kebutuhan perencanaan pembangunan, terutama dalam menentukan besaran Dana Alokasi Umum (DAU). Indikator yang digunakan dalam menghitung IPM di Indonesia mengacu pada metode baru yang diterapkan oleh UNDP dengan beberapa penyesuaian. Metode penghitungan IPM yang baru telah diterapkan di Indonesia sejak tahun data 2014 dan untuk memenuhi ketersediaan data tahun sebelumnya dilakukan </w:t>
      </w:r>
      <w:r w:rsidRPr="00C767C3">
        <w:rPr>
          <w:rFonts w:ascii="Times New Roman" w:hAnsi="Times New Roman" w:cs="Times New Roman"/>
          <w:color w:val="FF0000"/>
          <w:sz w:val="24"/>
          <w:szCs w:val="24"/>
        </w:rPr>
        <w:t>backasting</w:t>
      </w:r>
      <w:r w:rsidRPr="00C767C3">
        <w:rPr>
          <w:rFonts w:ascii="Times New Roman" w:hAnsi="Times New Roman" w:cs="Times New Roman"/>
          <w:sz w:val="24"/>
          <w:szCs w:val="24"/>
        </w:rPr>
        <w:t xml:space="preserve"> untuk periode data 2010-2013.</w:t>
      </w:r>
    </w:p>
    <w:p w:rsidR="00C767C3" w:rsidRDefault="00863AB2" w:rsidP="00330020">
      <w:pPr>
        <w:pStyle w:val="NoSpacing"/>
        <w:spacing w:line="360" w:lineRule="auto"/>
        <w:ind w:left="426" w:firstLine="294"/>
        <w:jc w:val="both"/>
        <w:rPr>
          <w:rFonts w:ascii="Times New Roman" w:hAnsi="Times New Roman" w:cs="Times New Roman"/>
          <w:sz w:val="24"/>
          <w:szCs w:val="24"/>
        </w:rPr>
      </w:pPr>
      <w:r w:rsidRPr="00863AB2">
        <w:rPr>
          <w:rFonts w:ascii="Times New Roman" w:hAnsi="Times New Roman" w:cs="Times New Roman"/>
          <w:sz w:val="24"/>
          <w:szCs w:val="24"/>
        </w:rPr>
        <w:t>Pada tahun 1990 UNDP membentuk tiga dimensi untuk membentuk IPM. Ketiga dimensi tersebut merupakan pendekatan yang dipilih dalam menggambarkan kualitas hidup manusia dan tidak berubah hingga saat ini. Dimensi tersebut meliputi: (1) panjang umur dan sehat; (2) pengetahuan (knowledge); dan (3) taraf hidup yang layak.</w:t>
      </w:r>
    </w:p>
    <w:p w:rsidR="00863AB2" w:rsidRDefault="00863AB2" w:rsidP="00330020">
      <w:pPr>
        <w:pStyle w:val="NoSpacing"/>
        <w:spacing w:line="360" w:lineRule="auto"/>
        <w:ind w:left="426" w:firstLine="294"/>
        <w:jc w:val="both"/>
        <w:rPr>
          <w:rFonts w:ascii="Times New Roman" w:hAnsi="Times New Roman" w:cs="Times New Roman"/>
          <w:sz w:val="24"/>
          <w:szCs w:val="24"/>
        </w:rPr>
      </w:pPr>
    </w:p>
    <w:p w:rsidR="004A6920" w:rsidRDefault="00863AB2" w:rsidP="00330020">
      <w:pPr>
        <w:pStyle w:val="NoSpacing"/>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Hasil dan Pembahasan</w:t>
      </w:r>
    </w:p>
    <w:p w:rsidR="008164DC" w:rsidRDefault="008164DC" w:rsidP="00330020">
      <w:pPr>
        <w:pStyle w:val="NoSpacing"/>
        <w:spacing w:line="360" w:lineRule="auto"/>
        <w:ind w:firstLine="426"/>
        <w:jc w:val="both"/>
        <w:rPr>
          <w:rFonts w:ascii="Times New Roman" w:hAnsi="Times New Roman" w:cs="Times New Roman"/>
          <w:b/>
          <w:bCs/>
          <w:sz w:val="24"/>
          <w:szCs w:val="24"/>
        </w:rPr>
      </w:pPr>
      <w:r w:rsidRPr="008164DC">
        <w:rPr>
          <w:rFonts w:ascii="Times New Roman" w:hAnsi="Times New Roman" w:cs="Times New Roman"/>
          <w:b/>
          <w:bCs/>
          <w:sz w:val="24"/>
          <w:szCs w:val="24"/>
        </w:rPr>
        <w:t>Prestasi Pembangunan Manusia Indonesia</w:t>
      </w:r>
    </w:p>
    <w:p w:rsidR="008164DC" w:rsidRDefault="008164DC" w:rsidP="00330020">
      <w:pPr>
        <w:pStyle w:val="NoSpacing"/>
        <w:spacing w:line="360" w:lineRule="auto"/>
        <w:ind w:left="426" w:firstLine="294"/>
        <w:jc w:val="both"/>
        <w:rPr>
          <w:rFonts w:ascii="Times New Roman" w:hAnsi="Times New Roman" w:cs="Times New Roman"/>
          <w:sz w:val="24"/>
          <w:szCs w:val="24"/>
        </w:rPr>
      </w:pPr>
      <w:r w:rsidRPr="008164DC">
        <w:rPr>
          <w:rFonts w:ascii="Times New Roman" w:hAnsi="Times New Roman" w:cs="Times New Roman"/>
          <w:sz w:val="24"/>
          <w:szCs w:val="24"/>
        </w:rPr>
        <w:t xml:space="preserve">Pandemi COVID-19 yang melanda hampir semua negara telah mengakibatkan resesi global. Beberapa lembaga internasional memperkirakan pertumbuhan ekonomi dunia pada 2020 akan mengalami kontraksi pada kisaran 3,4-4,3 persen. Indonesia juga tidak terlepas dari pandemi ini dan mengalami kontraksi pertumbuhan ekonomi sebesar 2,07 persen. Kontraksi pertumbuhan ekonomi Indonesia terutama disebabkan oleh penurunan output kegiatan ekonomi yang proses produksi dan transaksinya banyak berinteraksi langsung dan menimbulkan </w:t>
      </w:r>
      <w:r w:rsidR="00BB1308">
        <w:rPr>
          <w:rFonts w:ascii="Times New Roman" w:hAnsi="Times New Roman" w:cs="Times New Roman"/>
          <w:sz w:val="24"/>
          <w:szCs w:val="24"/>
        </w:rPr>
        <w:t>keramaian</w:t>
      </w:r>
      <w:r w:rsidRPr="008164DC">
        <w:rPr>
          <w:rFonts w:ascii="Times New Roman" w:hAnsi="Times New Roman" w:cs="Times New Roman"/>
          <w:sz w:val="24"/>
          <w:szCs w:val="24"/>
        </w:rPr>
        <w:t>. Pandemi COVID-19 setidaknya telah mempengaruhi perekonomian melalui beberapa jalur eksternal dan internal. Dari sisi eksternal, dampak pandemi dipicu oleh penurunan permintaan barang dan jasa dari negara mitra dagang, penurunan harga komoditas, stagnasi rantai pasokan komoditas input produksi, dan penurunan minat investor asing</w:t>
      </w:r>
      <w:r w:rsidR="00BB1308">
        <w:rPr>
          <w:rFonts w:ascii="Times New Roman" w:hAnsi="Times New Roman" w:cs="Times New Roman"/>
          <w:sz w:val="24"/>
          <w:szCs w:val="24"/>
        </w:rPr>
        <w:t xml:space="preserve"> </w:t>
      </w:r>
      <w:r w:rsidRPr="008164DC">
        <w:rPr>
          <w:rFonts w:ascii="Times New Roman" w:hAnsi="Times New Roman" w:cs="Times New Roman"/>
          <w:sz w:val="24"/>
          <w:szCs w:val="24"/>
        </w:rPr>
        <w:t>untuk berinvestasi di Indonesia. Secara internal, dampak pandemi dipicu oleh penurunan aktivitas produksi, konsumsi, dan investasi akibat pembatasan aktivitas dan interaksi yang bertujuan untuk mencegah penularan virus. Semua faktor ini berinteraksi satu sama lain dan secara keseluruhan memberikan tekanan berat pada perekonomian.</w:t>
      </w:r>
      <w:r w:rsidR="00BE2C9E">
        <w:rPr>
          <w:rFonts w:ascii="Times New Roman" w:hAnsi="Times New Roman" w:cs="Times New Roman"/>
          <w:sz w:val="24"/>
          <w:szCs w:val="24"/>
        </w:rPr>
        <w:t xml:space="preserve"> </w:t>
      </w:r>
    </w:p>
    <w:p w:rsidR="00BE2C9E" w:rsidRDefault="00BE2C9E" w:rsidP="00330020">
      <w:pPr>
        <w:pStyle w:val="NoSpacing"/>
        <w:spacing w:line="360" w:lineRule="auto"/>
        <w:ind w:left="426" w:firstLine="294"/>
        <w:jc w:val="both"/>
        <w:rPr>
          <w:rFonts w:ascii="Times New Roman" w:hAnsi="Times New Roman" w:cs="Times New Roman"/>
          <w:sz w:val="24"/>
          <w:szCs w:val="24"/>
        </w:rPr>
      </w:pPr>
    </w:p>
    <w:p w:rsidR="00BE2C9E" w:rsidRPr="00BE2C9E" w:rsidRDefault="00BE2C9E" w:rsidP="00330020">
      <w:pPr>
        <w:pStyle w:val="NoSpacing"/>
        <w:spacing w:line="360" w:lineRule="auto"/>
        <w:ind w:firstLine="426"/>
        <w:jc w:val="both"/>
        <w:rPr>
          <w:rFonts w:ascii="Times New Roman" w:hAnsi="Times New Roman" w:cs="Times New Roman"/>
          <w:b/>
          <w:bCs/>
          <w:sz w:val="24"/>
          <w:szCs w:val="24"/>
        </w:rPr>
      </w:pPr>
      <w:r w:rsidRPr="00BE2C9E">
        <w:rPr>
          <w:rFonts w:ascii="Times New Roman" w:hAnsi="Times New Roman" w:cs="Times New Roman"/>
          <w:b/>
          <w:bCs/>
          <w:sz w:val="24"/>
          <w:szCs w:val="24"/>
        </w:rPr>
        <w:t>Pembangunan Indonesia Melambat Selama Pandemi COVID-19</w:t>
      </w:r>
    </w:p>
    <w:p w:rsidR="00BE2C9E" w:rsidRDefault="00BE2C9E"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BE2C9E">
        <w:rPr>
          <w:rFonts w:ascii="Times New Roman" w:hAnsi="Times New Roman" w:cs="Times New Roman"/>
          <w:sz w:val="24"/>
          <w:szCs w:val="24"/>
        </w:rPr>
        <w:t>Pandemi COVID-19 yang melanda hampir seluruh negara di dunia telah memberikan dampak yang luas terhadap berbagai aspek kehidupan masyarakat. Kegiatan edukasi yang dilakukan secara tatap muka sebelum pandemi kini dilakukan secara virtual. Pemberian beberapa layanan kesehatan konsultatif juga banyak dilakukan melalui telepon atau komunikasi online. Transaksi langsung dan kegiatan sosial ekonomi yang menimbulkan keramaian juga banyak dihindari.</w:t>
      </w:r>
    </w:p>
    <w:p w:rsidR="007E62D6" w:rsidRDefault="007E62D6" w:rsidP="00330020">
      <w:pPr>
        <w:pStyle w:val="NoSpacing"/>
        <w:spacing w:line="360" w:lineRule="auto"/>
        <w:ind w:left="426" w:firstLine="294"/>
        <w:jc w:val="both"/>
        <w:rPr>
          <w:rFonts w:ascii="Times New Roman" w:hAnsi="Times New Roman" w:cs="Times New Roman"/>
          <w:sz w:val="24"/>
          <w:szCs w:val="24"/>
        </w:rPr>
      </w:pPr>
      <w:r w:rsidRPr="007E62D6">
        <w:rPr>
          <w:rFonts w:ascii="Times New Roman" w:hAnsi="Times New Roman" w:cs="Times New Roman"/>
          <w:sz w:val="24"/>
          <w:szCs w:val="24"/>
        </w:rPr>
        <w:t>Semua indikator makroekonomi dan sosial juga mengalami tekanan berat, termasuk IPM. Pada tahun 2020, IPM Indonesia mencapai 71,94, tumbuh 0,03 persen dibandingkan tahun sebelumnya. Dengan pencapaian tersebut, status pembangunan manusia di Indonesia masih tergolong tinggi (berkisar antara 70 IPM &lt; 80). Pertumbuhan IPM pada tahun 2020 jauh lebih lambat dibandingkan pertumbuhan tahun sebelumnya sebesar 0,74 persen (G</w:t>
      </w:r>
      <w:r w:rsidR="002E346C">
        <w:rPr>
          <w:rFonts w:ascii="Times New Roman" w:hAnsi="Times New Roman" w:cs="Times New Roman"/>
          <w:sz w:val="24"/>
          <w:szCs w:val="24"/>
        </w:rPr>
        <w:t>ambar</w:t>
      </w:r>
      <w:r w:rsidRPr="007E62D6">
        <w:rPr>
          <w:rFonts w:ascii="Times New Roman" w:hAnsi="Times New Roman" w:cs="Times New Roman"/>
          <w:sz w:val="24"/>
          <w:szCs w:val="24"/>
        </w:rPr>
        <w:t xml:space="preserve"> 1). Selama kurun waktu 2010-2019, pembangunan manusia di Indonesia setiap tahunnya tumbuh rata-rata 0,89 persen per tahun. Namun dengan pertumbuhan yang melambat pada 2020, rata-rata pertumbuhan IPM 2010-2020 akan menjadi 0,78 persen per tahun.</w:t>
      </w:r>
    </w:p>
    <w:p w:rsidR="007E62D6" w:rsidRPr="007E62D6" w:rsidRDefault="007E62D6" w:rsidP="00330020">
      <w:pPr>
        <w:pStyle w:val="NoSpacing"/>
        <w:spacing w:line="360" w:lineRule="auto"/>
        <w:ind w:left="426" w:firstLine="294"/>
        <w:jc w:val="both"/>
        <w:rPr>
          <w:rFonts w:ascii="Times New Roman" w:hAnsi="Times New Roman" w:cs="Times New Roman"/>
          <w:sz w:val="24"/>
          <w:szCs w:val="24"/>
        </w:rPr>
      </w:pPr>
    </w:p>
    <w:p w:rsidR="007E62D6" w:rsidRPr="00BE2C9E" w:rsidRDefault="007E62D6" w:rsidP="00330020">
      <w:pPr>
        <w:pStyle w:val="NoSpacing"/>
        <w:spacing w:line="360" w:lineRule="auto"/>
        <w:ind w:left="426"/>
        <w:jc w:val="both"/>
        <w:rPr>
          <w:rFonts w:ascii="Times New Roman" w:hAnsi="Times New Roman" w:cs="Times New Roman"/>
          <w:sz w:val="24"/>
          <w:szCs w:val="24"/>
        </w:rPr>
      </w:pPr>
      <w:r>
        <w:rPr>
          <w:noProof/>
          <w:lang w:eastAsia="id-ID"/>
        </w:rPr>
        <w:drawing>
          <wp:inline distT="0" distB="0" distL="0" distR="0" wp14:anchorId="3C7FDB66" wp14:editId="1010B51E">
            <wp:extent cx="5579110" cy="3007518"/>
            <wp:effectExtent l="0" t="0" r="2540" b="25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A6920" w:rsidRDefault="004A6920" w:rsidP="00330020">
      <w:pPr>
        <w:pStyle w:val="NoSpacing"/>
        <w:spacing w:line="360" w:lineRule="auto"/>
        <w:jc w:val="both"/>
        <w:rPr>
          <w:rFonts w:ascii="Times New Roman" w:hAnsi="Times New Roman" w:cs="Times New Roman"/>
          <w:sz w:val="24"/>
          <w:szCs w:val="24"/>
        </w:rPr>
      </w:pPr>
    </w:p>
    <w:p w:rsidR="007E62D6" w:rsidRPr="007E62D6" w:rsidRDefault="007E62D6" w:rsidP="00330020">
      <w:pPr>
        <w:pStyle w:val="NoSpacing"/>
        <w:spacing w:line="360" w:lineRule="auto"/>
        <w:jc w:val="both"/>
        <w:rPr>
          <w:rFonts w:ascii="Times New Roman" w:hAnsi="Times New Roman" w:cs="Times New Roman"/>
          <w:sz w:val="24"/>
          <w:szCs w:val="24"/>
        </w:rPr>
      </w:pPr>
      <w:bookmarkStart w:id="1" w:name="_Hlk92631141"/>
      <w:r w:rsidRPr="007E62D6">
        <w:rPr>
          <w:rFonts w:ascii="Times New Roman" w:hAnsi="Times New Roman" w:cs="Times New Roman"/>
          <w:sz w:val="24"/>
          <w:szCs w:val="24"/>
        </w:rPr>
        <w:t>Sumber : Badan Pusat Statistik</w:t>
      </w:r>
    </w:p>
    <w:bookmarkEnd w:id="1"/>
    <w:p w:rsidR="007E62D6" w:rsidRDefault="007E62D6" w:rsidP="00330020">
      <w:pPr>
        <w:pStyle w:val="NoSpacing"/>
        <w:spacing w:line="360" w:lineRule="auto"/>
        <w:jc w:val="center"/>
        <w:rPr>
          <w:rFonts w:ascii="Times New Roman" w:hAnsi="Times New Roman" w:cs="Times New Roman"/>
          <w:sz w:val="24"/>
          <w:szCs w:val="24"/>
        </w:rPr>
      </w:pPr>
      <w:r w:rsidRPr="007E62D6">
        <w:rPr>
          <w:rFonts w:ascii="Times New Roman" w:hAnsi="Times New Roman" w:cs="Times New Roman"/>
          <w:sz w:val="24"/>
          <w:szCs w:val="24"/>
        </w:rPr>
        <w:t>G</w:t>
      </w:r>
      <w:r w:rsidR="002E346C">
        <w:rPr>
          <w:rFonts w:ascii="Times New Roman" w:hAnsi="Times New Roman" w:cs="Times New Roman"/>
          <w:sz w:val="24"/>
          <w:szCs w:val="24"/>
        </w:rPr>
        <w:t>ambar</w:t>
      </w:r>
      <w:r w:rsidRPr="007E62D6">
        <w:rPr>
          <w:rFonts w:ascii="Times New Roman" w:hAnsi="Times New Roman" w:cs="Times New Roman"/>
          <w:sz w:val="24"/>
          <w:szCs w:val="24"/>
        </w:rPr>
        <w:t xml:space="preserve"> 1. Perkembangan Indeks Pembangunan Manusia (IPM) Indonesia, 2010-2020</w:t>
      </w:r>
    </w:p>
    <w:p w:rsidR="007A39CD" w:rsidRDefault="007A39CD" w:rsidP="00330020">
      <w:pPr>
        <w:pStyle w:val="NoSpacing"/>
        <w:spacing w:line="360" w:lineRule="auto"/>
        <w:jc w:val="center"/>
        <w:rPr>
          <w:rFonts w:ascii="Times New Roman" w:hAnsi="Times New Roman" w:cs="Times New Roman"/>
          <w:sz w:val="24"/>
          <w:szCs w:val="24"/>
        </w:rPr>
      </w:pPr>
    </w:p>
    <w:p w:rsidR="007E62D6" w:rsidRDefault="007A39CD" w:rsidP="00330020">
      <w:pPr>
        <w:pStyle w:val="NoSpacing"/>
        <w:spacing w:line="360" w:lineRule="auto"/>
        <w:ind w:left="426" w:firstLine="294"/>
        <w:jc w:val="both"/>
        <w:rPr>
          <w:rFonts w:ascii="Times New Roman" w:hAnsi="Times New Roman" w:cs="Times New Roman"/>
          <w:sz w:val="24"/>
          <w:szCs w:val="24"/>
        </w:rPr>
      </w:pPr>
      <w:r w:rsidRPr="007A39CD">
        <w:rPr>
          <w:rFonts w:ascii="Times New Roman" w:hAnsi="Times New Roman" w:cs="Times New Roman"/>
          <w:sz w:val="24"/>
          <w:szCs w:val="24"/>
        </w:rPr>
        <w:t>Perlambatan IPM pada masa pandemi COVID disebabkan oleh penurunan dimensi standar hidup layak yang diwakili oleh variabel pengeluaran per kapita riil yang disesuaikan, sedangkan dimensi umur panjang dan hidup sehat serta pengetahuan diwakili oleh variabel Angka Harapan Hidup pada kelahiran (UHH) dan Tahun Harapan Sekolah. (SLS) dan Rata-Rata Lama Sekolah (RLS) masih meningkat meskipun pertumbuhannya melambat.</w:t>
      </w:r>
    </w:p>
    <w:p w:rsidR="007A39CD" w:rsidRDefault="007A39CD" w:rsidP="00330020">
      <w:pPr>
        <w:pStyle w:val="NoSpacing"/>
        <w:spacing w:line="360" w:lineRule="auto"/>
        <w:ind w:left="426" w:firstLine="294"/>
        <w:jc w:val="both"/>
        <w:rPr>
          <w:rFonts w:ascii="Times New Roman" w:hAnsi="Times New Roman" w:cs="Times New Roman"/>
          <w:sz w:val="24"/>
          <w:szCs w:val="24"/>
        </w:rPr>
      </w:pPr>
    </w:p>
    <w:p w:rsidR="007A39CD" w:rsidRPr="007A39CD" w:rsidRDefault="007A39CD" w:rsidP="00330020">
      <w:pPr>
        <w:pStyle w:val="NoSpacing"/>
        <w:spacing w:line="360" w:lineRule="auto"/>
        <w:ind w:firstLine="426"/>
        <w:jc w:val="both"/>
        <w:rPr>
          <w:rFonts w:ascii="Times New Roman" w:hAnsi="Times New Roman" w:cs="Times New Roman"/>
          <w:b/>
          <w:bCs/>
          <w:sz w:val="24"/>
          <w:szCs w:val="24"/>
        </w:rPr>
      </w:pPr>
      <w:r w:rsidRPr="007A39CD">
        <w:rPr>
          <w:rFonts w:ascii="Times New Roman" w:hAnsi="Times New Roman" w:cs="Times New Roman"/>
          <w:b/>
          <w:bCs/>
          <w:sz w:val="24"/>
          <w:szCs w:val="24"/>
        </w:rPr>
        <w:t>Pencapaian Dimensi Panjang Umur dan Hidup Sehat Pertumbuhan Melambat</w:t>
      </w:r>
    </w:p>
    <w:p w:rsidR="007A39CD" w:rsidRPr="007A39CD" w:rsidRDefault="007A39CD" w:rsidP="00330020">
      <w:pPr>
        <w:pStyle w:val="NoSpacing"/>
        <w:spacing w:line="360" w:lineRule="auto"/>
        <w:ind w:left="426" w:firstLine="294"/>
        <w:jc w:val="both"/>
        <w:rPr>
          <w:rFonts w:ascii="Times New Roman" w:hAnsi="Times New Roman" w:cs="Times New Roman"/>
          <w:sz w:val="24"/>
          <w:szCs w:val="24"/>
        </w:rPr>
      </w:pPr>
      <w:r w:rsidRPr="007A39CD">
        <w:rPr>
          <w:rFonts w:ascii="Times New Roman" w:hAnsi="Times New Roman" w:cs="Times New Roman"/>
          <w:sz w:val="24"/>
          <w:szCs w:val="24"/>
        </w:rPr>
        <w:t>Angka harapan hidup saat lahir yang merepresentasikan dimensi umur panjang dan hidup sehat di Indonesia terus meningkat dari tahun ke tahun. Hal ini menunjukkan bahwa bayi yang baru lahir memiliki harapan untuk dapat hidup lebih lama. Secara tidak langsung, hal ini juga mencerminkan semakin baiknya derajat kesehatan masyarakat di Indonesia.</w:t>
      </w:r>
    </w:p>
    <w:p w:rsidR="0082127C" w:rsidRDefault="0082127C" w:rsidP="00330020">
      <w:pPr>
        <w:pStyle w:val="NoSpacing"/>
        <w:spacing w:line="360" w:lineRule="auto"/>
        <w:ind w:left="426" w:firstLine="294"/>
        <w:jc w:val="both"/>
        <w:rPr>
          <w:rFonts w:ascii="Times New Roman" w:hAnsi="Times New Roman" w:cs="Times New Roman"/>
          <w:sz w:val="24"/>
          <w:szCs w:val="24"/>
        </w:rPr>
      </w:pPr>
      <w:r w:rsidRPr="0082127C">
        <w:rPr>
          <w:rFonts w:ascii="Times New Roman" w:hAnsi="Times New Roman" w:cs="Times New Roman"/>
          <w:sz w:val="24"/>
          <w:szCs w:val="24"/>
        </w:rPr>
        <w:t>Berdasarkan teori Henrik L. Blum (Notoadmodjo, 2007), status kesehatan penduduk dapat diukur dari angka kematian (mortalitas) dan angka kesakitan (morbiditas). Angka kematian menunjukkan jumlah kematian per 1.000 penduduk dalam satu tahun, sedangkan Angka Harapan Hidup (UHH) dapat menunjukkan angka kematian dalam hal usia harapan hidup. Pada tahun 2020, pencapaian UHH Indonesia adalah 71,47 tahun atau meningkat 0,18 persen (0,13 tahun) dibandingkan tahun 2019. Meski ada peningkatan UHH, namun ada sedikit perlambatan dibandingkan 3 tahun sebelumnya yang masing-masing tumbuh 0,23 persen. . (0,16 tahun), 0,20 persen (0,14 tahun), dan 0,20 persen (0,14 tahun).</w:t>
      </w:r>
    </w:p>
    <w:p w:rsidR="00DF013D" w:rsidRPr="0082127C" w:rsidRDefault="00DF013D" w:rsidP="00330020">
      <w:pPr>
        <w:pStyle w:val="NoSpacing"/>
        <w:spacing w:line="360" w:lineRule="auto"/>
        <w:ind w:left="426" w:firstLine="294"/>
        <w:jc w:val="both"/>
        <w:rPr>
          <w:rFonts w:ascii="Times New Roman" w:hAnsi="Times New Roman" w:cs="Times New Roman"/>
          <w:sz w:val="24"/>
          <w:szCs w:val="24"/>
        </w:rPr>
      </w:pPr>
    </w:p>
    <w:p w:rsidR="007A39CD" w:rsidRDefault="00DF013D" w:rsidP="00330020">
      <w:pPr>
        <w:pStyle w:val="NoSpacing"/>
        <w:spacing w:line="360" w:lineRule="auto"/>
        <w:ind w:left="426" w:firstLine="294"/>
        <w:jc w:val="both"/>
        <w:rPr>
          <w:rFonts w:ascii="Times New Roman" w:hAnsi="Times New Roman" w:cs="Times New Roman"/>
          <w:sz w:val="24"/>
          <w:szCs w:val="24"/>
        </w:rPr>
      </w:pPr>
      <w:r>
        <w:rPr>
          <w:noProof/>
          <w:lang w:eastAsia="id-ID"/>
        </w:rPr>
        <w:drawing>
          <wp:inline distT="0" distB="0" distL="0" distR="0" wp14:anchorId="7B63775D" wp14:editId="31E73225">
            <wp:extent cx="5550535" cy="2971800"/>
            <wp:effectExtent l="0" t="0" r="1206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E346C" w:rsidRPr="002E346C" w:rsidRDefault="002E346C" w:rsidP="00330020">
      <w:pPr>
        <w:pStyle w:val="NoSpacing"/>
        <w:spacing w:line="360" w:lineRule="auto"/>
        <w:ind w:left="426" w:firstLine="294"/>
        <w:rPr>
          <w:rFonts w:ascii="Times New Roman" w:hAnsi="Times New Roman" w:cs="Times New Roman"/>
          <w:sz w:val="24"/>
          <w:szCs w:val="24"/>
        </w:rPr>
      </w:pPr>
      <w:r w:rsidRPr="002E346C">
        <w:rPr>
          <w:rFonts w:ascii="Times New Roman" w:hAnsi="Times New Roman" w:cs="Times New Roman"/>
          <w:sz w:val="24"/>
          <w:szCs w:val="24"/>
        </w:rPr>
        <w:t>Sumber : Badan Pusat Statistik</w:t>
      </w:r>
    </w:p>
    <w:p w:rsidR="002E346C" w:rsidRDefault="002E346C" w:rsidP="00330020">
      <w:pPr>
        <w:pStyle w:val="NoSpacing"/>
        <w:spacing w:line="360" w:lineRule="auto"/>
        <w:ind w:left="426" w:firstLine="294"/>
        <w:jc w:val="both"/>
        <w:rPr>
          <w:rFonts w:ascii="Times New Roman" w:hAnsi="Times New Roman" w:cs="Times New Roman"/>
          <w:sz w:val="24"/>
          <w:szCs w:val="24"/>
        </w:rPr>
      </w:pPr>
      <w:r w:rsidRPr="002E346C">
        <w:rPr>
          <w:rFonts w:ascii="Times New Roman" w:hAnsi="Times New Roman" w:cs="Times New Roman"/>
          <w:sz w:val="24"/>
          <w:szCs w:val="24"/>
        </w:rPr>
        <w:t>Gambar 2. Perkembangan Angka Harapan Hidup Saat Lahir (UHH) Indonesia, 2010-2020</w:t>
      </w:r>
    </w:p>
    <w:p w:rsidR="00873013" w:rsidRPr="002E346C" w:rsidRDefault="00873013" w:rsidP="00330020">
      <w:pPr>
        <w:pStyle w:val="NoSpacing"/>
        <w:spacing w:line="360" w:lineRule="auto"/>
        <w:ind w:left="426" w:firstLine="294"/>
        <w:jc w:val="both"/>
        <w:rPr>
          <w:rFonts w:ascii="Times New Roman" w:hAnsi="Times New Roman" w:cs="Times New Roman"/>
          <w:sz w:val="24"/>
          <w:szCs w:val="24"/>
        </w:rPr>
      </w:pPr>
    </w:p>
    <w:p w:rsidR="00873013" w:rsidRPr="00873013" w:rsidRDefault="00873013" w:rsidP="00330020">
      <w:pPr>
        <w:pStyle w:val="NoSpacing"/>
        <w:spacing w:line="360" w:lineRule="auto"/>
        <w:ind w:left="426" w:firstLine="294"/>
        <w:jc w:val="both"/>
        <w:rPr>
          <w:rFonts w:ascii="Times New Roman" w:hAnsi="Times New Roman" w:cs="Times New Roman"/>
          <w:sz w:val="24"/>
          <w:szCs w:val="24"/>
        </w:rPr>
      </w:pPr>
      <w:r w:rsidRPr="00873013">
        <w:rPr>
          <w:rFonts w:ascii="Times New Roman" w:hAnsi="Times New Roman" w:cs="Times New Roman"/>
          <w:sz w:val="24"/>
          <w:szCs w:val="24"/>
        </w:rPr>
        <w:t>Sedangkan angka kesakitan adalah persentase penduduk yang mengalami keluhan kesehatan dan menyebabkan terganggunya aktivitas sehari-hari. Semakin tinggi angka kesakitan maka semakin rendah derajat kesehatan penduduk karena semakin banyak masyarakat yang mengalami keluhan kesehatan. Hal ini menunjukkan bahwa masyarakat rentan terhadap berbagai macam penyakit yang disebabkan oleh berbagai penyebab. Kondisi kesehatan yang buruk akan berdampak pada angka kematian dan harapan hidup.</w:t>
      </w:r>
    </w:p>
    <w:p w:rsidR="002C578F" w:rsidRPr="002C578F" w:rsidRDefault="002C578F" w:rsidP="00330020">
      <w:pPr>
        <w:pStyle w:val="NoSpacing"/>
        <w:spacing w:line="360" w:lineRule="auto"/>
        <w:ind w:left="426" w:firstLine="294"/>
        <w:jc w:val="both"/>
        <w:rPr>
          <w:rFonts w:ascii="Times New Roman" w:hAnsi="Times New Roman" w:cs="Times New Roman"/>
          <w:sz w:val="24"/>
          <w:szCs w:val="24"/>
        </w:rPr>
      </w:pPr>
      <w:r w:rsidRPr="002C578F">
        <w:rPr>
          <w:rFonts w:ascii="Times New Roman" w:hAnsi="Times New Roman" w:cs="Times New Roman"/>
          <w:sz w:val="24"/>
          <w:szCs w:val="24"/>
        </w:rPr>
        <w:t>Berdasarkan publikasi Statistik Kesejahteraan Rakyat tahun 2020, angka kesakitan penduduk Indonesia pada tahun 2020 sebesar 14,64 persen. Angka ini menurun jika dibandingkan dengan tahun sebelumnya yang sebesar 15,38 persen. Hal ini menunjukkan bahwa tingkat kesehatan penduduk Indonesia semakin membaik dalam satu tahun terakhir.</w:t>
      </w:r>
    </w:p>
    <w:p w:rsidR="002C578F" w:rsidRPr="002C578F" w:rsidRDefault="002C578F" w:rsidP="00330020">
      <w:pPr>
        <w:pStyle w:val="NoSpacing"/>
        <w:spacing w:line="360" w:lineRule="auto"/>
        <w:ind w:left="426" w:firstLine="294"/>
        <w:jc w:val="both"/>
        <w:rPr>
          <w:rFonts w:ascii="Times New Roman" w:hAnsi="Times New Roman" w:cs="Times New Roman"/>
          <w:sz w:val="24"/>
          <w:szCs w:val="24"/>
        </w:rPr>
      </w:pPr>
      <w:r w:rsidRPr="002C578F">
        <w:rPr>
          <w:rFonts w:ascii="Times New Roman" w:hAnsi="Times New Roman" w:cs="Times New Roman"/>
          <w:sz w:val="24"/>
          <w:szCs w:val="24"/>
        </w:rPr>
        <w:t xml:space="preserve">Teori Henrik L. Blum juga menjelaskan bahwa angka kematian dan kesakitan penduduk dipengaruhi oleh empat </w:t>
      </w:r>
      <w:r>
        <w:rPr>
          <w:rFonts w:ascii="Times New Roman" w:hAnsi="Times New Roman" w:cs="Times New Roman"/>
          <w:sz w:val="24"/>
          <w:szCs w:val="24"/>
        </w:rPr>
        <w:t>faktor</w:t>
      </w:r>
      <w:r w:rsidRPr="002C578F">
        <w:rPr>
          <w:rFonts w:ascii="Times New Roman" w:hAnsi="Times New Roman" w:cs="Times New Roman"/>
          <w:sz w:val="24"/>
          <w:szCs w:val="24"/>
        </w:rPr>
        <w:t>, yaitu faktor lingkungan, perilaku kesehatan, pelayanan kesehatan, dan keturunan (Gambar 2). Keempat faktor tersebut saling berkaitan dan berinteraksi dengan faktor lingkungan dan perilaku kesehatan yang paling besar pengaruhnya terhadap derajat kesehatan manusia (Kasnodihardjo et al, 1997). Faktor lingkungan berpengaruh sebesar 45 persen, perilaku kesehatan sebesar 30 persen, pelayanan kesehatan sebesar 20 persen, dan faktor keturunan sebesar 5 persen.</w:t>
      </w:r>
    </w:p>
    <w:p w:rsidR="002C578F" w:rsidRPr="002C578F" w:rsidRDefault="002C578F" w:rsidP="00330020">
      <w:pPr>
        <w:pStyle w:val="NoSpacing"/>
        <w:spacing w:line="360" w:lineRule="auto"/>
        <w:ind w:left="426" w:firstLine="294"/>
        <w:jc w:val="both"/>
        <w:rPr>
          <w:rFonts w:ascii="Times New Roman" w:hAnsi="Times New Roman" w:cs="Times New Roman"/>
          <w:sz w:val="24"/>
          <w:szCs w:val="24"/>
        </w:rPr>
      </w:pPr>
      <w:r w:rsidRPr="002C578F">
        <w:rPr>
          <w:rFonts w:ascii="Times New Roman" w:hAnsi="Times New Roman" w:cs="Times New Roman"/>
          <w:sz w:val="24"/>
          <w:szCs w:val="24"/>
        </w:rPr>
        <w:t>Beberapa indikator yang menunjukkan kondisi lingkungan dalam menunjang derajat kesehatan antara lain kepemilikan tempat buang air besar dan akses terhadap air minum yang layak. Data statistik kesejahteraan masyarakat pada tahun 2020 menunjukkan terdapat 6,08 persen rumah tangga di Indonesia yang belum memiliki fasilitas buang air besar. Angka ini membaik dibandingkan tahun sebelumnya yang sebesar 7,47 persen (turun 1,39 persen). Meski membaik, penurunan tersebut masih lebih lambat dibandingkan tahun sebelumnya yaitu 1,78 persen. Data statistik kesejahteraan masyarakat tahun 2020 juga menunjukkan rumah tangga yang memiliki akses air minum yang aman pada tahun 2020 sebesar 90,21 persen, meningkat dibandingkan tahun sebelumnya sebesar 89,27 persen (meningkat 0,94 persen). Namun, meski mengalami peningkatan, peningkatan tersebut lebih rendah dari tahun sebelumnya yang mencapai 1,52 persen.</w:t>
      </w:r>
    </w:p>
    <w:p w:rsidR="00C75733" w:rsidRPr="00C75733" w:rsidRDefault="00C75733" w:rsidP="00330020">
      <w:pPr>
        <w:pStyle w:val="NoSpacing"/>
        <w:spacing w:line="360" w:lineRule="auto"/>
        <w:ind w:left="426" w:firstLine="294"/>
        <w:jc w:val="both"/>
        <w:rPr>
          <w:rFonts w:ascii="Times New Roman" w:hAnsi="Times New Roman" w:cs="Times New Roman"/>
          <w:sz w:val="24"/>
          <w:szCs w:val="24"/>
        </w:rPr>
      </w:pPr>
      <w:r w:rsidRPr="00C75733">
        <w:rPr>
          <w:rFonts w:ascii="Times New Roman" w:hAnsi="Times New Roman" w:cs="Times New Roman"/>
          <w:sz w:val="24"/>
          <w:szCs w:val="24"/>
        </w:rPr>
        <w:t>Faktor selanjutnya yang sangat berpengaruh terhadap tingkat kesehatan masyarakat adalah perilaku hidup sehat dan pelayanan kesehatan yang menurut teori Henrik L. Blum masing-masing menyumbang 30 persen dan 20 persen. Salah satu indikator perilaku sehat adalah pernikahan dini yang dapat menimbulkan risiko bagi kesehatan ibu dan anak. Pada tahun 2020 terdapat 14,88 persen wanita pernah kawin dengan usia kawin pertama 16 tahun. Angka ini menurun dibandingkan tahun sebelumnya yang sebesar 15,48 persen (menurun 0,60 persen). Penurunan tersebut lebih cepat dari tahun sebelumnya yang sebesar 0,18 persen. Sedangkan indikator pelayanan kesehatan yang mempengaruhi peningkatan derajat kesehatan antara lain siapa dan dimana penolong persalinan. Pada tahun 2020 terdapat 4,87 persen wanita pernah kawin yang kelahiran terakhirnya tidak ditolong oleh tenaga medis. Angka ini lebih baik dari tahun sebelumnya yang sebesar 5,28 persen (turun 0,41 persen). Namun peningkatan tersebut lebih lambat dibandingkan tahun sebelumnya yaitu 1,10 persen. Indikator selanjutnya adalah wanita pernah kawin yang terakhir kali melahirkan di fasilitas kesehatan yaitu pada tahun 2020 sebesar 12,11 persen. Angka ini lebih baik dari tahun sebelumnya yang sebesar 14,06 persen (turun 1,95 persen), namun peningkatannya lebih lambat dari tahun sebelumnya yang sebesar 3,20 persen.</w:t>
      </w:r>
    </w:p>
    <w:p w:rsidR="00F21D63" w:rsidRPr="00F21D63" w:rsidRDefault="00F21D63" w:rsidP="00330020">
      <w:pPr>
        <w:pStyle w:val="NoSpacing"/>
        <w:spacing w:line="360" w:lineRule="auto"/>
        <w:ind w:left="426" w:firstLine="294"/>
        <w:jc w:val="both"/>
        <w:rPr>
          <w:rFonts w:ascii="Times New Roman" w:hAnsi="Times New Roman" w:cs="Times New Roman"/>
          <w:sz w:val="24"/>
          <w:szCs w:val="24"/>
        </w:rPr>
      </w:pPr>
      <w:r w:rsidRPr="00F21D63">
        <w:rPr>
          <w:rFonts w:ascii="Times New Roman" w:hAnsi="Times New Roman" w:cs="Times New Roman"/>
          <w:sz w:val="24"/>
          <w:szCs w:val="24"/>
        </w:rPr>
        <w:t>Secara umum dapat dikatakan bahwa indikator kesehatan yang dapat berdampak pada peningkatan usia harapan hidup pada masa pandemi COVID-19 masih menunjukkan perbaikan, namun peningkatannya lebih lambat dibandingkan tahun sebelumnya, sehingga pada akhirnya peningkatan UHH di 2020 juga melambat. Peningkatan UHH juga berperan positif dalam peningkatan IPM di masa pandemi.</w:t>
      </w:r>
    </w:p>
    <w:p w:rsidR="00DF013D" w:rsidRDefault="00DF013D" w:rsidP="00330020">
      <w:pPr>
        <w:pStyle w:val="NoSpacing"/>
        <w:spacing w:line="360" w:lineRule="auto"/>
        <w:jc w:val="both"/>
        <w:rPr>
          <w:rFonts w:ascii="Times New Roman" w:hAnsi="Times New Roman" w:cs="Times New Roman"/>
          <w:sz w:val="24"/>
          <w:szCs w:val="24"/>
        </w:rPr>
      </w:pPr>
    </w:p>
    <w:p w:rsidR="00B12556" w:rsidRPr="00B12556" w:rsidRDefault="00B12556" w:rsidP="00330020">
      <w:pPr>
        <w:pStyle w:val="NoSpacing"/>
        <w:spacing w:line="360" w:lineRule="auto"/>
        <w:ind w:firstLine="426"/>
        <w:jc w:val="both"/>
        <w:rPr>
          <w:rFonts w:ascii="Times New Roman" w:hAnsi="Times New Roman" w:cs="Times New Roman"/>
          <w:b/>
          <w:bCs/>
          <w:sz w:val="24"/>
          <w:szCs w:val="24"/>
        </w:rPr>
      </w:pPr>
      <w:r w:rsidRPr="00B12556">
        <w:rPr>
          <w:rFonts w:ascii="Times New Roman" w:hAnsi="Times New Roman" w:cs="Times New Roman"/>
          <w:b/>
          <w:bCs/>
          <w:sz w:val="24"/>
          <w:szCs w:val="24"/>
        </w:rPr>
        <w:t>Pencapaian Dimensi Pengetahuan Tumbuh Melambat</w:t>
      </w:r>
    </w:p>
    <w:p w:rsidR="005E6B69" w:rsidRPr="005E6B69" w:rsidRDefault="00B12556"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E6B69" w:rsidRPr="005E6B69">
        <w:rPr>
          <w:rFonts w:ascii="Times New Roman" w:hAnsi="Times New Roman" w:cs="Times New Roman"/>
          <w:sz w:val="24"/>
          <w:szCs w:val="24"/>
        </w:rPr>
        <w:t>Dimensi pengetahuan dalam menghitung IPM terdiri dari dua indikator yaitu Harapan Lama Sekolah (SLS) dan Rata-Rata Lama Sekolah (RLS). HLS adalah perkiraan lama sekolah (dalam tahun) yang akan dihadiri oleh anak berusia 7 tahun. HLS dihitung berdasarkan jumlah penduduk berusia 7 tahun ke atas agar sesuai dengan acuan usia dalam program wajib belajar yang dicanangkan pemerintah. Sedangkan RLS adalah rata-rata lama waktu yang dihabiskan penduduk dalam menempuh pendidikan formal. Cakupan penduduk untuk menghitung RLS adalah penduduk berusia 25 tahun ke atas, dengan asumsi bahwa proses pendidikan seseorang telah berakhir sebelum mencapai usia 25 tahun. Perhitungan RLS berdasarkan penduduk berusia 25 tahun ke atas juga mengikuti standar internasional yang digunakan oleh UNDP.</w:t>
      </w:r>
    </w:p>
    <w:p w:rsidR="005E6B69" w:rsidRPr="005E6B69" w:rsidRDefault="005E6B69"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5E6B69">
        <w:rPr>
          <w:rFonts w:ascii="Times New Roman" w:hAnsi="Times New Roman" w:cs="Times New Roman"/>
          <w:sz w:val="24"/>
          <w:szCs w:val="24"/>
        </w:rPr>
        <w:t>HLS merupakan indikator proses pembangunan yang menggambarkan ukuran keberhasilan suatu program pendidikan dalam jangka pendek, sedangkan RLS menggambarkan indikator keluaran pembangunan dalam jangka panjang. HLS dan RLS dapat memberikan gambaran tentang penambahan (flow) dan pencapaian (stock) kualitas sumber daya manusia di suatu daerah.</w:t>
      </w:r>
    </w:p>
    <w:p w:rsidR="005E6B69" w:rsidRPr="005E6B69" w:rsidRDefault="005E6B69"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5E6B69">
        <w:rPr>
          <w:rFonts w:ascii="Times New Roman" w:hAnsi="Times New Roman" w:cs="Times New Roman"/>
          <w:sz w:val="24"/>
          <w:szCs w:val="24"/>
        </w:rPr>
        <w:t>Selama tahun 2010 hingga 2020, kedua indikator tersebut selalu mengalami peningkatan. Meski indikator HLS terus meningkat, namun sejak 2014 cenderung mengalami perlambatan. Pada tahun 2020 HLS hanya meningkat sebesar 0,23 persen (0,03 tahun), sedikit lebih lambat dibandingkan peningkatan tahun sebelumnya yang mencapai 0,31 persen (0,04 tahun) (Gambar 3).</w:t>
      </w:r>
    </w:p>
    <w:p w:rsidR="00B12556" w:rsidRDefault="005E6B69"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Pr>
          <w:noProof/>
          <w:lang w:eastAsia="id-ID"/>
        </w:rPr>
        <w:drawing>
          <wp:inline distT="0" distB="0" distL="0" distR="0" wp14:anchorId="3732F2CE" wp14:editId="38999962">
            <wp:extent cx="5514975" cy="28860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6B69" w:rsidRPr="005E6B69" w:rsidRDefault="005E6B69" w:rsidP="00330020">
      <w:pPr>
        <w:pStyle w:val="NoSpacing"/>
        <w:spacing w:line="360" w:lineRule="auto"/>
        <w:ind w:left="426"/>
        <w:jc w:val="both"/>
        <w:rPr>
          <w:rFonts w:ascii="Times New Roman" w:hAnsi="Times New Roman" w:cs="Times New Roman"/>
          <w:sz w:val="24"/>
          <w:szCs w:val="24"/>
        </w:rPr>
      </w:pPr>
      <w:bookmarkStart w:id="2" w:name="_Hlk92721089"/>
      <w:r w:rsidRPr="005E6B69">
        <w:rPr>
          <w:rFonts w:ascii="Times New Roman" w:hAnsi="Times New Roman" w:cs="Times New Roman"/>
          <w:sz w:val="24"/>
          <w:szCs w:val="24"/>
        </w:rPr>
        <w:t>Sumber : Badan Pusat Statistik</w:t>
      </w:r>
      <w:bookmarkEnd w:id="2"/>
    </w:p>
    <w:p w:rsidR="005E6B69" w:rsidRDefault="005E6B69" w:rsidP="00330020">
      <w:pPr>
        <w:pStyle w:val="NoSpacing"/>
        <w:spacing w:line="360" w:lineRule="auto"/>
        <w:ind w:left="426"/>
        <w:jc w:val="both"/>
        <w:rPr>
          <w:rFonts w:ascii="Times New Roman" w:hAnsi="Times New Roman" w:cs="Times New Roman"/>
          <w:sz w:val="24"/>
          <w:szCs w:val="24"/>
        </w:rPr>
      </w:pPr>
    </w:p>
    <w:p w:rsidR="00D65C37" w:rsidRPr="00D65C37" w:rsidRDefault="00D65C37" w:rsidP="00330020">
      <w:pPr>
        <w:pStyle w:val="NoSpacing"/>
        <w:spacing w:line="360" w:lineRule="auto"/>
        <w:ind w:left="426"/>
        <w:jc w:val="both"/>
        <w:rPr>
          <w:rFonts w:ascii="Times New Roman" w:hAnsi="Times New Roman" w:cs="Times New Roman"/>
          <w:b/>
          <w:bCs/>
          <w:sz w:val="24"/>
          <w:szCs w:val="24"/>
        </w:rPr>
      </w:pPr>
      <w:r w:rsidRPr="00D65C37">
        <w:rPr>
          <w:rFonts w:ascii="Times New Roman" w:hAnsi="Times New Roman" w:cs="Times New Roman"/>
          <w:b/>
          <w:bCs/>
          <w:sz w:val="24"/>
          <w:szCs w:val="24"/>
        </w:rPr>
        <w:t>Gambar 3. Perkembangan Harapan Sekolah Lama (SLTA) Indonesia, 2010-2020</w:t>
      </w:r>
    </w:p>
    <w:p w:rsidR="005E6B69" w:rsidRDefault="005E6B69" w:rsidP="00330020">
      <w:pPr>
        <w:pStyle w:val="NoSpacing"/>
        <w:spacing w:line="360" w:lineRule="auto"/>
        <w:ind w:left="426"/>
        <w:jc w:val="both"/>
        <w:rPr>
          <w:rFonts w:ascii="Times New Roman" w:hAnsi="Times New Roman" w:cs="Times New Roman"/>
          <w:sz w:val="24"/>
          <w:szCs w:val="24"/>
        </w:rPr>
      </w:pPr>
    </w:p>
    <w:p w:rsidR="00D65C37" w:rsidRPr="00D65C37" w:rsidRDefault="00D65C37" w:rsidP="00330020">
      <w:pPr>
        <w:pStyle w:val="NoSpacing"/>
        <w:spacing w:line="360" w:lineRule="auto"/>
        <w:ind w:left="426" w:firstLine="294"/>
        <w:jc w:val="both"/>
        <w:rPr>
          <w:rFonts w:ascii="Times New Roman" w:hAnsi="Times New Roman" w:cs="Times New Roman"/>
          <w:sz w:val="24"/>
          <w:szCs w:val="24"/>
        </w:rPr>
      </w:pPr>
      <w:r w:rsidRPr="00D65C37">
        <w:rPr>
          <w:rFonts w:ascii="Times New Roman" w:hAnsi="Times New Roman" w:cs="Times New Roman"/>
          <w:sz w:val="24"/>
          <w:szCs w:val="24"/>
        </w:rPr>
        <w:t>Peningkatan HLS pada tahun 2020 dipengaruhi oleh peningkatan Angka Partisipasi Sekolah (APS) pada semua kelompok usia pendidikan, yaitu 7-12, 13-15, 16-18, dan 19-24 tahun. Peningkatan tertinggi terjadi pada APS 16-18 tahun (0,36 persen), disusul APS 19-24 tahun (0,34 persen), kemudian APS 7-12 tahun (0,02 persen). Rendahnya peningkatan APS 7-12 lebih karena pada kelompok usia ini nilainya sudah sangat tinggi (hampir mendekati 100 persen) sehingga ruang untuk perbaikan sangat sempit.</w:t>
      </w:r>
    </w:p>
    <w:p w:rsidR="00D65C37" w:rsidRPr="00D65C37" w:rsidRDefault="00D65C37"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D65C37">
        <w:rPr>
          <w:rFonts w:ascii="Times New Roman" w:hAnsi="Times New Roman" w:cs="Times New Roman"/>
          <w:sz w:val="24"/>
          <w:szCs w:val="24"/>
        </w:rPr>
        <w:t>Yang perlu diperhatikan adalah rendahnya APS 19-24 tahun yang masih di bawah 30 persen. Padahal kelompok usia ini sangat berpengaruh terhadap peningkatan kualitas pembangunan manusia. Hal ini dimungkinkan karena ketersediaan dan jumlah daya tampung perguruan tinggi yang lebih sedikit dibandingkan jumlah lulusan S</w:t>
      </w:r>
      <w:r w:rsidR="007025F5">
        <w:rPr>
          <w:rFonts w:ascii="Times New Roman" w:hAnsi="Times New Roman" w:cs="Times New Roman"/>
          <w:sz w:val="24"/>
          <w:szCs w:val="24"/>
        </w:rPr>
        <w:t>MA</w:t>
      </w:r>
      <w:r w:rsidRPr="00D65C37">
        <w:rPr>
          <w:rFonts w:ascii="Times New Roman" w:hAnsi="Times New Roman" w:cs="Times New Roman"/>
          <w:sz w:val="24"/>
          <w:szCs w:val="24"/>
        </w:rPr>
        <w:t>. Selain itu, hal lain yang juga berpengaruh adalah tingginya biaya pendidikan di perguruan tinggi dibandingkan dengan jenjang pendidikan di bawahnya.</w:t>
      </w:r>
    </w:p>
    <w:p w:rsidR="007025F5" w:rsidRPr="007025F5" w:rsidRDefault="007025F5"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7025F5">
        <w:rPr>
          <w:rFonts w:ascii="Times New Roman" w:hAnsi="Times New Roman" w:cs="Times New Roman"/>
          <w:sz w:val="24"/>
          <w:szCs w:val="24"/>
        </w:rPr>
        <w:t>Indikator RLS pada masa pandemi juga meningkat dibandingkan tahun sebelumnya, dari 8,34 tahun pada 2019 menjadi 8,48 tahun pada 2020 atau meningkat 1,68 persen (0,14 tahun). Peningkatan ini lebih lambat dari tahun sebelumnya yang mencapai 2,08 persen (0,17 tahun). Secara alami, peningkatan RLS sangat dipengaruhi oleh peningkatan APS pada kelompok usia 19-24 tahun, terutama APS pada kelompok usia 24 tahun. Terkait dengan hal tersebut, upaya peningkatan dimensi pendidikan dapat difokuskan pada peningkatan APM kelompok usia 19-24 tahun karena secara bersamaan dapat meningkatkan indikator HLS dan RLS.</w:t>
      </w:r>
    </w:p>
    <w:p w:rsidR="00D65C37" w:rsidRDefault="007025F5"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p>
    <w:p w:rsidR="00570C63" w:rsidRDefault="00570C63" w:rsidP="00330020">
      <w:pPr>
        <w:pStyle w:val="NoSpacing"/>
        <w:spacing w:line="360" w:lineRule="auto"/>
        <w:ind w:left="426"/>
        <w:jc w:val="both"/>
        <w:rPr>
          <w:rFonts w:ascii="Times New Roman" w:hAnsi="Times New Roman" w:cs="Times New Roman"/>
          <w:sz w:val="24"/>
          <w:szCs w:val="24"/>
        </w:rPr>
      </w:pPr>
      <w:r>
        <w:rPr>
          <w:noProof/>
          <w:lang w:eastAsia="id-ID"/>
        </w:rPr>
        <w:drawing>
          <wp:inline distT="0" distB="0" distL="0" distR="0" wp14:anchorId="5AE8F064" wp14:editId="355B2198">
            <wp:extent cx="5679281" cy="2743200"/>
            <wp:effectExtent l="0" t="0" r="171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0C63" w:rsidRDefault="00570C63" w:rsidP="00330020">
      <w:pPr>
        <w:pStyle w:val="NoSpacing"/>
        <w:spacing w:line="360" w:lineRule="auto"/>
        <w:ind w:left="426"/>
        <w:jc w:val="both"/>
        <w:rPr>
          <w:rFonts w:ascii="Times New Roman" w:hAnsi="Times New Roman" w:cs="Times New Roman"/>
          <w:sz w:val="24"/>
          <w:szCs w:val="24"/>
        </w:rPr>
      </w:pPr>
      <w:bookmarkStart w:id="3" w:name="_Hlk92721380"/>
      <w:r w:rsidRPr="005E6B69">
        <w:rPr>
          <w:rFonts w:ascii="Times New Roman" w:hAnsi="Times New Roman" w:cs="Times New Roman"/>
          <w:sz w:val="24"/>
          <w:szCs w:val="24"/>
        </w:rPr>
        <w:t>Sumber : Badan Pusat Statistik</w:t>
      </w:r>
    </w:p>
    <w:bookmarkEnd w:id="3"/>
    <w:p w:rsidR="00570C63" w:rsidRDefault="00570C63" w:rsidP="00330020">
      <w:pPr>
        <w:pStyle w:val="NoSpacing"/>
        <w:spacing w:line="360" w:lineRule="auto"/>
        <w:ind w:left="426"/>
        <w:jc w:val="both"/>
        <w:rPr>
          <w:rFonts w:ascii="Times New Roman" w:hAnsi="Times New Roman" w:cs="Times New Roman"/>
          <w:b/>
          <w:bCs/>
          <w:sz w:val="24"/>
          <w:szCs w:val="24"/>
        </w:rPr>
      </w:pPr>
      <w:r w:rsidRPr="00570C63">
        <w:rPr>
          <w:rFonts w:ascii="Times New Roman" w:hAnsi="Times New Roman" w:cs="Times New Roman"/>
          <w:b/>
          <w:bCs/>
          <w:sz w:val="24"/>
          <w:szCs w:val="24"/>
        </w:rPr>
        <w:t>Gambar 4. Perkembangan Rata-rata Lama Sekolah (RLS) Indonesia, 2010-2020</w:t>
      </w:r>
    </w:p>
    <w:p w:rsidR="006D2F2F" w:rsidRPr="00570C63" w:rsidRDefault="006D2F2F" w:rsidP="00330020">
      <w:pPr>
        <w:pStyle w:val="NoSpacing"/>
        <w:spacing w:line="360" w:lineRule="auto"/>
        <w:ind w:left="426"/>
        <w:jc w:val="both"/>
        <w:rPr>
          <w:rFonts w:ascii="Times New Roman" w:hAnsi="Times New Roman" w:cs="Times New Roman"/>
          <w:b/>
          <w:bCs/>
          <w:sz w:val="24"/>
          <w:szCs w:val="24"/>
        </w:rPr>
      </w:pPr>
    </w:p>
    <w:p w:rsidR="00570C63" w:rsidRDefault="00570C63" w:rsidP="00330020">
      <w:pPr>
        <w:pStyle w:val="NoSpacing"/>
        <w:spacing w:line="360" w:lineRule="auto"/>
        <w:ind w:left="426"/>
        <w:jc w:val="both"/>
        <w:rPr>
          <w:rFonts w:ascii="Times New Roman" w:hAnsi="Times New Roman" w:cs="Times New Roman"/>
          <w:sz w:val="24"/>
          <w:szCs w:val="24"/>
        </w:rPr>
      </w:pPr>
    </w:p>
    <w:p w:rsidR="006D2F2F" w:rsidRPr="006D2F2F" w:rsidRDefault="006D2F2F" w:rsidP="00330020">
      <w:pPr>
        <w:pStyle w:val="NoSpacing"/>
        <w:spacing w:line="360" w:lineRule="auto"/>
        <w:ind w:left="426"/>
        <w:jc w:val="both"/>
        <w:rPr>
          <w:rFonts w:ascii="Times New Roman" w:hAnsi="Times New Roman" w:cs="Times New Roman"/>
          <w:b/>
          <w:bCs/>
          <w:sz w:val="24"/>
          <w:szCs w:val="24"/>
        </w:rPr>
      </w:pPr>
      <w:r w:rsidRPr="006D2F2F">
        <w:rPr>
          <w:rFonts w:ascii="Times New Roman" w:hAnsi="Times New Roman" w:cs="Times New Roman"/>
          <w:b/>
          <w:bCs/>
          <w:sz w:val="24"/>
          <w:szCs w:val="24"/>
        </w:rPr>
        <w:t>Pencapaian Dimensi Standar Hidup Layak Turun Akibat Pandemi</w:t>
      </w:r>
    </w:p>
    <w:p w:rsidR="006D2F2F" w:rsidRDefault="006D2F2F" w:rsidP="00330020">
      <w:pPr>
        <w:pStyle w:val="NoSpacing"/>
        <w:spacing w:line="360" w:lineRule="auto"/>
        <w:ind w:left="426" w:firstLine="294"/>
        <w:jc w:val="both"/>
        <w:rPr>
          <w:rFonts w:ascii="Times New Roman" w:hAnsi="Times New Roman" w:cs="Times New Roman"/>
          <w:sz w:val="24"/>
          <w:szCs w:val="24"/>
        </w:rPr>
      </w:pPr>
      <w:r w:rsidRPr="006D2F2F">
        <w:rPr>
          <w:rFonts w:ascii="Times New Roman" w:hAnsi="Times New Roman" w:cs="Times New Roman"/>
          <w:sz w:val="24"/>
          <w:szCs w:val="24"/>
        </w:rPr>
        <w:t>Dimensi standar hidup layak tercermin dari penyesuaian indikator pengeluaran per kapita riil per tahun. Indikator ini menggambarkan daya beli masyarakat selama periode tertentu. Selama 2010-2019, indikator ini selalu tumbuh dengan pertumbuhan</w:t>
      </w:r>
      <w:r>
        <w:rPr>
          <w:rFonts w:ascii="Times New Roman" w:hAnsi="Times New Roman" w:cs="Times New Roman"/>
          <w:sz w:val="24"/>
          <w:szCs w:val="24"/>
        </w:rPr>
        <w:t xml:space="preserve"> rata-rata</w:t>
      </w:r>
      <w:r w:rsidRPr="006D2F2F">
        <w:rPr>
          <w:rFonts w:ascii="Times New Roman" w:hAnsi="Times New Roman" w:cs="Times New Roman"/>
          <w:sz w:val="24"/>
          <w:szCs w:val="24"/>
        </w:rPr>
        <w:t xml:space="preserve"> 2,02 persen per tahun, namun pada periode 2010-2020 turun menjadi 1,73 persen per tahun akibat dampak pandemi COVID-19. Pada tahun 2020 belanja riil per kapita per tahun yang disesuaikan sebesar Rp11.013.000, mengalami kontraksi sebesar 2,53 persen (turun Rp286.000) dibandingkan tahun sebelumnya. Angka ini bahkan lebih rendah dari capaian 2018 sebesar Rp. 11.059.000 (Gambar 5).</w:t>
      </w:r>
    </w:p>
    <w:p w:rsidR="006D2F2F" w:rsidRDefault="006D2F2F" w:rsidP="00330020">
      <w:pPr>
        <w:pStyle w:val="NoSpacing"/>
        <w:spacing w:line="360" w:lineRule="auto"/>
        <w:ind w:left="426" w:firstLine="294"/>
        <w:jc w:val="both"/>
        <w:rPr>
          <w:rFonts w:ascii="Times New Roman" w:hAnsi="Times New Roman" w:cs="Times New Roman"/>
          <w:sz w:val="24"/>
          <w:szCs w:val="24"/>
        </w:rPr>
      </w:pPr>
    </w:p>
    <w:p w:rsidR="006D2F2F" w:rsidRPr="006D2F2F" w:rsidRDefault="006D2F2F" w:rsidP="00330020">
      <w:pPr>
        <w:pStyle w:val="NoSpacing"/>
        <w:spacing w:line="360" w:lineRule="auto"/>
        <w:ind w:left="426"/>
        <w:jc w:val="both"/>
        <w:rPr>
          <w:rFonts w:ascii="Times New Roman" w:hAnsi="Times New Roman" w:cs="Times New Roman"/>
          <w:sz w:val="24"/>
          <w:szCs w:val="24"/>
        </w:rPr>
      </w:pPr>
      <w:r>
        <w:rPr>
          <w:noProof/>
          <w:lang w:eastAsia="id-ID"/>
        </w:rPr>
        <w:drawing>
          <wp:inline distT="0" distB="0" distL="0" distR="0" wp14:anchorId="3698F9D6" wp14:editId="25B555B8">
            <wp:extent cx="56007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2F2F" w:rsidRPr="006D2F2F" w:rsidRDefault="006D2F2F" w:rsidP="00330020">
      <w:pPr>
        <w:pStyle w:val="NoSpacing"/>
        <w:spacing w:line="360" w:lineRule="auto"/>
        <w:ind w:firstLine="426"/>
        <w:rPr>
          <w:rFonts w:ascii="Times New Roman" w:hAnsi="Times New Roman" w:cs="Times New Roman"/>
          <w:sz w:val="24"/>
          <w:szCs w:val="24"/>
        </w:rPr>
      </w:pPr>
      <w:r w:rsidRPr="006D2F2F">
        <w:rPr>
          <w:rFonts w:ascii="Times New Roman" w:hAnsi="Times New Roman" w:cs="Times New Roman"/>
          <w:sz w:val="24"/>
          <w:szCs w:val="24"/>
        </w:rPr>
        <w:t>Sumber : Badan Pusat Statistik</w:t>
      </w:r>
    </w:p>
    <w:p w:rsidR="00570C63" w:rsidRPr="006D2F2F" w:rsidRDefault="00570C63" w:rsidP="00330020">
      <w:pPr>
        <w:pStyle w:val="NoSpacing"/>
        <w:spacing w:line="360" w:lineRule="auto"/>
        <w:ind w:left="426"/>
        <w:jc w:val="both"/>
        <w:rPr>
          <w:rFonts w:ascii="Times New Roman" w:hAnsi="Times New Roman" w:cs="Times New Roman"/>
          <w:sz w:val="24"/>
          <w:szCs w:val="24"/>
        </w:rPr>
      </w:pPr>
    </w:p>
    <w:p w:rsidR="00B465D6" w:rsidRPr="00B465D6" w:rsidRDefault="00B465D6" w:rsidP="00330020">
      <w:pPr>
        <w:pStyle w:val="NoSpacing"/>
        <w:spacing w:line="360" w:lineRule="auto"/>
        <w:ind w:left="426"/>
        <w:jc w:val="center"/>
        <w:rPr>
          <w:rFonts w:ascii="Times New Roman" w:hAnsi="Times New Roman" w:cs="Times New Roman"/>
          <w:b/>
          <w:bCs/>
          <w:sz w:val="24"/>
          <w:szCs w:val="24"/>
        </w:rPr>
      </w:pPr>
      <w:r w:rsidRPr="00B465D6">
        <w:rPr>
          <w:rFonts w:ascii="Times New Roman" w:hAnsi="Times New Roman" w:cs="Times New Roman"/>
          <w:b/>
          <w:bCs/>
          <w:sz w:val="24"/>
          <w:szCs w:val="24"/>
        </w:rPr>
        <w:t>Gambar 5. Perkembangan Pengeluaran Riil Disesuaikan per Kapita di Indonesia, 2010-2020</w:t>
      </w:r>
    </w:p>
    <w:p w:rsidR="00570C63" w:rsidRDefault="00570C63" w:rsidP="00330020">
      <w:pPr>
        <w:pStyle w:val="NoSpacing"/>
        <w:spacing w:line="360" w:lineRule="auto"/>
        <w:ind w:left="426"/>
        <w:jc w:val="both"/>
        <w:rPr>
          <w:rFonts w:ascii="Times New Roman" w:hAnsi="Times New Roman" w:cs="Times New Roman"/>
          <w:sz w:val="24"/>
          <w:szCs w:val="24"/>
        </w:rPr>
      </w:pPr>
    </w:p>
    <w:p w:rsidR="00D23825" w:rsidRDefault="000128BC" w:rsidP="00330020">
      <w:pPr>
        <w:pStyle w:val="NoSpacing"/>
        <w:spacing w:line="360" w:lineRule="auto"/>
        <w:ind w:left="426" w:firstLine="294"/>
        <w:jc w:val="both"/>
        <w:rPr>
          <w:rFonts w:ascii="Times New Roman" w:hAnsi="Times New Roman" w:cs="Times New Roman"/>
          <w:sz w:val="24"/>
          <w:szCs w:val="24"/>
        </w:rPr>
      </w:pPr>
      <w:r w:rsidRPr="000128BC">
        <w:rPr>
          <w:rFonts w:ascii="Times New Roman" w:hAnsi="Times New Roman" w:cs="Times New Roman"/>
          <w:sz w:val="24"/>
          <w:szCs w:val="24"/>
        </w:rPr>
        <w:t>Pandemi COVID-19 telah menyebabkan penurunan aktivitas ekonomi yang mengakibatkan penurunan penyerapan tenaga kerja dan peningkatan Tingkat Pengangguran Terbuka (TPT). Pada tahun 2020 jumlah penduduk yang bekerja 128,45 juta orang, turun 0,31 juta orang dibandingkan tahun sebelumnya (128,76 juta orang), sedangkan angka TPT mencapai 7,07 persen, meningkat 1,84 persen dibandingkan tahun sebelumnya yang sebesar 5,23 persen. . Pandemi COVID-19 juga menurunkan persentase pekerja formal dari 44,12 persen di tahun 2019 menjadi 39,53 persen di tahun 2020 yang di sisi lain meningkatkan persentase pekerja informal karena kebutuhan untuk bertahan hidup di masa pandemi yang salah satunya dilakukan dengan beradaptasi. dan beralih ke pekerja informal.</w:t>
      </w:r>
    </w:p>
    <w:p w:rsidR="00B465D6" w:rsidRDefault="000128BC"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FA0847" w:rsidRPr="00FA0847">
        <w:rPr>
          <w:rFonts w:ascii="Times New Roman" w:hAnsi="Times New Roman" w:cs="Times New Roman"/>
          <w:sz w:val="24"/>
          <w:szCs w:val="24"/>
        </w:rPr>
        <w:t>Penurunan penyerapan tenaga kerja dan peningkatan TPT selama pandemi berdampak pada peningkatan kemiskinan. Jumlah penduduk miskin dan persentase penduduk miskin pada Maret 2020 saat pandemi COVID-19 mulai menyebar di Indonesia mencapai 26,42 juta (9,78 persen), lebih tinggi dari kondisi sebelumnya dan pada September 2020 meningkat lagi menjadi 27,55 juta (10,19 persen). persen). Selain itu, penurunan penyerapan tenaga kerja dan kenaikan TPT juga berdampak pada penurunan Belanja Konsumsi Rumah Tangga (PK-RT) yang mengalami kontraksi 2,63 persen dibandingkan tahun sebelumnya dan penurunan inflasi dari 2,72 persen pada tahun 2019 menjadi 1,68 persen pada tahun. 2016. 2020.</w:t>
      </w:r>
    </w:p>
    <w:p w:rsidR="00AC033D" w:rsidRDefault="00AC033D" w:rsidP="00330020">
      <w:pPr>
        <w:pStyle w:val="NoSpacing"/>
        <w:spacing w:line="360" w:lineRule="auto"/>
        <w:ind w:left="426"/>
        <w:jc w:val="both"/>
        <w:rPr>
          <w:rFonts w:ascii="Times New Roman" w:hAnsi="Times New Roman" w:cs="Times New Roman"/>
          <w:sz w:val="24"/>
          <w:szCs w:val="24"/>
        </w:rPr>
      </w:pPr>
    </w:p>
    <w:p w:rsidR="00AC033D" w:rsidRDefault="00AC033D" w:rsidP="00330020">
      <w:pPr>
        <w:pStyle w:val="NoSpacing"/>
        <w:spacing w:line="360" w:lineRule="auto"/>
        <w:ind w:left="426"/>
        <w:jc w:val="both"/>
        <w:rPr>
          <w:rFonts w:ascii="Times New Roman" w:hAnsi="Times New Roman" w:cs="Times New Roman"/>
          <w:b/>
          <w:sz w:val="24"/>
          <w:szCs w:val="24"/>
        </w:rPr>
      </w:pPr>
      <w:r w:rsidRPr="00AC033D">
        <w:rPr>
          <w:rFonts w:ascii="Times New Roman" w:hAnsi="Times New Roman" w:cs="Times New Roman"/>
          <w:b/>
          <w:sz w:val="24"/>
          <w:szCs w:val="24"/>
        </w:rPr>
        <w:t>Pertumbuhan IPM Provinsi Melambat</w:t>
      </w:r>
    </w:p>
    <w:p w:rsidR="00AC033D" w:rsidRDefault="00AC033D" w:rsidP="00330020">
      <w:pPr>
        <w:pStyle w:val="NoSpacing"/>
        <w:spacing w:line="360" w:lineRule="auto"/>
        <w:ind w:left="426" w:firstLine="294"/>
        <w:jc w:val="both"/>
        <w:rPr>
          <w:rFonts w:ascii="Times New Roman" w:hAnsi="Times New Roman" w:cs="Times New Roman"/>
          <w:sz w:val="24"/>
          <w:szCs w:val="24"/>
        </w:rPr>
      </w:pPr>
      <w:r w:rsidRPr="00AC033D">
        <w:rPr>
          <w:rFonts w:ascii="Times New Roman" w:hAnsi="Times New Roman" w:cs="Times New Roman"/>
          <w:sz w:val="24"/>
          <w:szCs w:val="24"/>
        </w:rPr>
        <w:t>Pertumbuhan IPM di tengah pandemi COVID-19 melambat di semua provinsi. Dari sisi posisi, perbandingan IPM antarprovinsi tidak banyak berubah. Pencapaian IPM tertinggi pada tahun 2020 masih diraih oleh Provinsi DKI Jakarta (80,77), sedangkan pencapaian terendah diduduki oleh Provinsi Papua (60,44). Jika dibandingkan dengan angka nasional, ada 11 provinsi yang memiliki capaian IPM di atas angka nasional.</w:t>
      </w:r>
    </w:p>
    <w:p w:rsidR="00AC033D" w:rsidRDefault="00AC033D" w:rsidP="00330020">
      <w:pPr>
        <w:pStyle w:val="NoSpacing"/>
        <w:spacing w:line="360" w:lineRule="auto"/>
        <w:ind w:left="426" w:firstLine="294"/>
        <w:jc w:val="both"/>
        <w:rPr>
          <w:rFonts w:ascii="Times New Roman" w:hAnsi="Times New Roman" w:cs="Times New Roman"/>
          <w:sz w:val="24"/>
          <w:szCs w:val="24"/>
        </w:rPr>
      </w:pPr>
      <w:r w:rsidRPr="00AC033D">
        <w:rPr>
          <w:rFonts w:ascii="Times New Roman" w:hAnsi="Times New Roman" w:cs="Times New Roman"/>
          <w:sz w:val="24"/>
          <w:szCs w:val="24"/>
        </w:rPr>
        <w:t>Sejak pertama kali dihitung, Provinsi DKI Jakarta selalu memiliki capaian IPM tertinggi. Selama pandemi COVID-19, IPM Provinsi DKI Jakarta mengalami kenaikan terendah dalam satu dekade terakhir dengan kenaikan 0,01 poin. Perlambatan IPM Provinsi DKI Jakarta pada tahun 2020 disebabkan oleh penurunan belanja per kapita riil yang disesuaikan. Indikator ini mengalami penurunan sebesar 1,62 persen dibandingkan tahun 2019. Banyaknya kasus terkonfirmasi COVID-19 yang mengakibatkan pelemahan aktivitas ekonomi berkontribusi terhadap perlambatan angka IPM Provinsi DKI Jakarta. Hingga akhir tahun 2020, kasus positif COVID-19 di Provinsi DKI Jakarta menjadi yang tertinggi di Indonesia dengan kontribusi 25 persen dari seluruh kasus.</w:t>
      </w:r>
    </w:p>
    <w:p w:rsidR="00AC033D" w:rsidRDefault="00AC033D" w:rsidP="00330020">
      <w:pPr>
        <w:pStyle w:val="NoSpacing"/>
        <w:spacing w:line="360" w:lineRule="auto"/>
        <w:ind w:left="426" w:firstLine="294"/>
        <w:jc w:val="both"/>
        <w:rPr>
          <w:rFonts w:ascii="Times New Roman" w:hAnsi="Times New Roman" w:cs="Times New Roman"/>
          <w:sz w:val="24"/>
          <w:szCs w:val="24"/>
        </w:rPr>
      </w:pPr>
      <w:r w:rsidRPr="00AC033D">
        <w:rPr>
          <w:rFonts w:ascii="Times New Roman" w:hAnsi="Times New Roman" w:cs="Times New Roman"/>
          <w:sz w:val="24"/>
          <w:szCs w:val="24"/>
        </w:rPr>
        <w:t>Di sisi lain, Provinsi Papua menempati posisi terakhir dalam pencapaian pembangunan manusia pada periode 2010-2020. Selain itu, IPM Provinsi Papua pada tahun 2020 mengalami penurunan dibandingkan tahun sebelumnya. Hal ini tidak terlepas dari dampak pandemi yang telah menyebar hingga ke wilayah paling timur Indonesia. Faktor utama penurunan IPM di provinsi ini adalah penurunan penyesuaian pengeluaran per kapita riil. Hal ini sejalan dengan pengeluaran konsumsi rumah tangga yang terus menurun dari triwulan II-2020 hingga akhir triwulan IV-2020 (BPS, 2021a). Padahal, penurunan konsumsi rumah tangga di Provinsi Papua merupakan yang tertinggi di Indonesia.</w:t>
      </w:r>
      <w:r w:rsidR="002F2774">
        <w:rPr>
          <w:rFonts w:ascii="Times New Roman" w:hAnsi="Times New Roman" w:cs="Times New Roman"/>
          <w:sz w:val="24"/>
          <w:szCs w:val="24"/>
        </w:rPr>
        <w:t xml:space="preserve"> </w:t>
      </w:r>
    </w:p>
    <w:p w:rsidR="00D00C3A" w:rsidRDefault="00D00C3A" w:rsidP="00330020">
      <w:pPr>
        <w:pStyle w:val="NoSpacing"/>
        <w:spacing w:line="360" w:lineRule="auto"/>
        <w:ind w:left="426" w:firstLine="294"/>
        <w:jc w:val="both"/>
        <w:rPr>
          <w:rFonts w:ascii="Times New Roman" w:hAnsi="Times New Roman" w:cs="Times New Roman"/>
          <w:sz w:val="24"/>
          <w:szCs w:val="24"/>
        </w:rPr>
      </w:pPr>
      <w:r w:rsidRPr="00D00C3A">
        <w:rPr>
          <w:rFonts w:ascii="Times New Roman" w:hAnsi="Times New Roman" w:cs="Times New Roman"/>
          <w:sz w:val="24"/>
          <w:szCs w:val="24"/>
        </w:rPr>
        <w:t>Pertumbuhan konsumsi rumah tangga merupakan komponen terbesar yang memberikan kontribusi terhadap perekonomian daerah. Pertumbuhan konsumsi rumah tangga yang negatif merupakan tanda dari melemahnya perekonomian dan turunnya daya beli masyarakat. Hal ini sangat berpengaruh pada aspek pembangunan lainnya. Beberapa provinsi mengalami perlambatan pertumbuhan ekonomi pada tahun 2020, dan sebagian besar mengalami pertumbuhan negatif.</w:t>
      </w:r>
    </w:p>
    <w:p w:rsidR="00D00C3A" w:rsidRDefault="00D00C3A" w:rsidP="00330020">
      <w:pPr>
        <w:pStyle w:val="NoSpacing"/>
        <w:spacing w:line="360" w:lineRule="auto"/>
        <w:ind w:left="426" w:firstLine="294"/>
        <w:jc w:val="both"/>
        <w:rPr>
          <w:rFonts w:ascii="Times New Roman" w:hAnsi="Times New Roman" w:cs="Times New Roman"/>
          <w:sz w:val="24"/>
          <w:szCs w:val="24"/>
        </w:rPr>
      </w:pPr>
      <w:r w:rsidRPr="00D00C3A">
        <w:rPr>
          <w:rFonts w:ascii="Times New Roman" w:hAnsi="Times New Roman" w:cs="Times New Roman"/>
          <w:sz w:val="24"/>
          <w:szCs w:val="24"/>
        </w:rPr>
        <w:t xml:space="preserve">Kontraksi pertumbuhan ekonomi Indonesia sangat berpengaruh terhadap peningkatan pembangunan manusia. Namun karena pembangunan manusia bersifat jangka panjang, maka IPM di sebagian besar provinsi hanya tumbuh </w:t>
      </w:r>
      <w:r>
        <w:rPr>
          <w:rFonts w:ascii="Times New Roman" w:hAnsi="Times New Roman" w:cs="Times New Roman"/>
          <w:sz w:val="24"/>
          <w:szCs w:val="24"/>
        </w:rPr>
        <w:t>me</w:t>
      </w:r>
      <w:r w:rsidRPr="00D00C3A">
        <w:rPr>
          <w:rFonts w:ascii="Times New Roman" w:hAnsi="Times New Roman" w:cs="Times New Roman"/>
          <w:sz w:val="24"/>
          <w:szCs w:val="24"/>
        </w:rPr>
        <w:t>lambat dan tidak mengalami kontraksi seperti pertumbuhan ekonomi. Selain itu, indikator pembentuk IPM lainnya juga masih mengalami peningkatan sehingga pada tahun 2020 terdapat 24 provinsi yang mengalami peningkatan IPM meskipun peningkatannya lebih rendah dari tahun sebelumnya.</w:t>
      </w:r>
    </w:p>
    <w:p w:rsidR="007F5E31" w:rsidRDefault="00085D14" w:rsidP="00330020">
      <w:pPr>
        <w:pStyle w:val="NoSpacing"/>
        <w:spacing w:line="360" w:lineRule="auto"/>
        <w:ind w:left="426" w:firstLine="294"/>
        <w:jc w:val="both"/>
        <w:rPr>
          <w:rFonts w:ascii="Times New Roman" w:hAnsi="Times New Roman" w:cs="Times New Roman"/>
          <w:sz w:val="24"/>
          <w:szCs w:val="24"/>
        </w:rPr>
      </w:pPr>
      <w:r w:rsidRPr="00085D14">
        <w:rPr>
          <w:rFonts w:ascii="Times New Roman" w:hAnsi="Times New Roman" w:cs="Times New Roman"/>
          <w:sz w:val="24"/>
          <w:szCs w:val="24"/>
        </w:rPr>
        <w:t>Peningkatan IPM tertinggi terjadi di Provinsi Papua Barat dan Sulawesi Barat, masing-masing sebesar 0,60 persen dan 0,58 persen. Di tengah pandemi COVID-19, IPM kedua provinsi secara keseluruhan masih meningkat karena dampak pandemi terhadap daya beli di provinsi tersebut masih relatif rendah dibandingkan provinsi lain sehingga penurunan tersebut dikompensasi dengan peningkatan indikator pembentuk IPM lainnya. Rata-rata Lama Sekolah (RLS) penduduk berusia 25 tahun ke atas di kedua provinsi tersebut meningkat signifikan dibandingkan provinsi lain dengan persentase kenaikan masing-masing mencapai 2,15 persen dan 2,07 persen, sedangkan peningkatan RLS nasional mencapai 1,68 persen.</w:t>
      </w:r>
    </w:p>
    <w:p w:rsidR="00085D14" w:rsidRDefault="00085D14" w:rsidP="00330020">
      <w:pPr>
        <w:pStyle w:val="NoSpacing"/>
        <w:spacing w:line="360" w:lineRule="auto"/>
        <w:ind w:left="426" w:firstLine="294"/>
        <w:jc w:val="both"/>
        <w:rPr>
          <w:rFonts w:ascii="Times New Roman" w:hAnsi="Times New Roman" w:cs="Times New Roman"/>
          <w:sz w:val="24"/>
          <w:szCs w:val="24"/>
        </w:rPr>
      </w:pPr>
      <w:r w:rsidRPr="00085D14">
        <w:rPr>
          <w:rFonts w:ascii="Times New Roman" w:hAnsi="Times New Roman" w:cs="Times New Roman"/>
          <w:sz w:val="24"/>
          <w:szCs w:val="24"/>
        </w:rPr>
        <w:t>Rendahnya dampak pandemi terhadap daya beli di provinsi tersebut tercermin dari indikator ketenagakerjaan. Tingkat Pengangguran Terbuka (TPT) di Provinsi Papua Barat dan Sulawesi Barat pada tahun 2020 juga mengalami peningkatan, namun peningkatan tersebut masih jauh lebih rendah dibandingkan provinsi lainnya. Kenaikan TPT di Provinsi Papua Barat dan Sulawesi Barat sebesar 0,37 dan 0,34 poin persentase (BPS, 2020), sedangkan kenaikan TPT nasional sebesar 1,84 poin persentase. Selain itu, persentase penduduk miskin di kedua provinsi tersebut mengalami penurunan (0,80 dan 0,15 poin persentase), sedangkan secara nasional angka kemiskinan meningkat sebesar 0,37 poin persentase.</w:t>
      </w:r>
    </w:p>
    <w:p w:rsidR="00E461FE" w:rsidRDefault="00E461FE" w:rsidP="00330020">
      <w:pPr>
        <w:pStyle w:val="NoSpacing"/>
        <w:spacing w:line="360" w:lineRule="auto"/>
        <w:ind w:left="426" w:firstLine="294"/>
        <w:jc w:val="both"/>
        <w:rPr>
          <w:rFonts w:ascii="Times New Roman" w:hAnsi="Times New Roman" w:cs="Times New Roman"/>
          <w:sz w:val="24"/>
          <w:szCs w:val="24"/>
        </w:rPr>
      </w:pPr>
      <w:r w:rsidRPr="00E461FE">
        <w:rPr>
          <w:rFonts w:ascii="Times New Roman" w:hAnsi="Times New Roman" w:cs="Times New Roman"/>
          <w:sz w:val="24"/>
          <w:szCs w:val="24"/>
        </w:rPr>
        <w:t>Selain ditandai dengan peningkatan capaian IPM di 24 provinsi, perkembangan IPM pada tahun 2020 juga tercatat mengalami penurunan di sepuluh provinsi. Penurunan IPM tertinggi terjadi di Provinsi Kalimantan Utara. Pada tahun 2019 IPM Provinsi Kalimantan Utara mencapai 71,15, sedangkan pada tahun 2020 turun 0,73 persen menjadi 70,63. Penurunan tersebut terutama disebabkan oleh terganggunya dimensi taraf hidup layak yang tidak dapat dikompensasi oleh indikator lambatnya pertumbuhan pada dimensi lain. Penurunan standar hidup layak yang diukur dengan pengeluaran per kapita riil di Kalimantan Utara juga disertai dengan penurunan PDRB per kapita atas dasar harga konstan sebesar 4,49 persen, jauh lebih dalam dibandingkan penurunan PDRB per kapita di 34 provinsi (rata-rata) yang mencapai 3,15 persen (BPS, 2021b) dan (2) peningkatan persentase pekerja yang bekerja 0 jam (saat tidak bekerja) sebesar 1,17 poin persentase, sedangkan angka nasional mencapai 0,75 poin persentase. Selain itu, Provinsi Kalimantan Utara juga tercatat sebagai provinsi tertinggi kedua dengan persentase pekerja sementara yang tidak bekerja, yaitu 4,5 persen (BPS, 2020).</w:t>
      </w:r>
    </w:p>
    <w:p w:rsidR="002D13FA" w:rsidRDefault="002D13FA" w:rsidP="00330020">
      <w:pPr>
        <w:pStyle w:val="NoSpacing"/>
        <w:spacing w:line="360" w:lineRule="auto"/>
        <w:ind w:left="426" w:firstLine="294"/>
        <w:jc w:val="both"/>
        <w:rPr>
          <w:rFonts w:ascii="Times New Roman" w:hAnsi="Times New Roman" w:cs="Times New Roman"/>
          <w:sz w:val="24"/>
          <w:szCs w:val="24"/>
        </w:rPr>
      </w:pPr>
      <w:r w:rsidRPr="002D13FA">
        <w:rPr>
          <w:rFonts w:ascii="Times New Roman" w:hAnsi="Times New Roman" w:cs="Times New Roman"/>
          <w:sz w:val="24"/>
          <w:szCs w:val="24"/>
        </w:rPr>
        <w:t>Hal yang hampir sama juga terjadi di Provinsi Papua. Penurunan IPM Provinsi Papua juga disebabkan oleh penurunan pengeluaran per kapita riil yang juga tercermin dari penurunan pengeluaran konsumsi rumah tangga sebesar 5,58 persen (BPS, 2021a). Indikator lain yang berkontribusi terhadap penurunan IPM di Provinsi Papua adalah melambatnya pertumbuhan RLS. Jika pada tahun 2019 pertumbuhan RLS mencapai 1,99 persen, maka pada tahun 2020 RLS Provinsi Papua hanya tumbuh 0,60 persen, cukup jauh dari pertumbuhan nasional yang mencapai 1,68 persen.</w:t>
      </w:r>
    </w:p>
    <w:p w:rsidR="002D13FA" w:rsidRDefault="00FE7919" w:rsidP="00330020">
      <w:pPr>
        <w:pStyle w:val="NoSpacing"/>
        <w:spacing w:line="360" w:lineRule="auto"/>
        <w:ind w:left="426" w:firstLine="294"/>
        <w:jc w:val="both"/>
        <w:rPr>
          <w:rFonts w:ascii="Times New Roman" w:hAnsi="Times New Roman" w:cs="Times New Roman"/>
          <w:sz w:val="24"/>
          <w:szCs w:val="24"/>
        </w:rPr>
      </w:pPr>
      <w:r w:rsidRPr="00FE7919">
        <w:rPr>
          <w:rFonts w:ascii="Times New Roman" w:hAnsi="Times New Roman" w:cs="Times New Roman"/>
          <w:sz w:val="24"/>
          <w:szCs w:val="24"/>
        </w:rPr>
        <w:t>Tidak jauh berbeda dengan Provinsi Papua, penurunan IPM di Provinsi Kalimantan Timur juga tidak terlepas dari penurunan daya beli akibat pandemi dan perlambatan pertumbuhan RLS. Penurunan daya beli di Provinsi Kalimantan Timur juga ditandai dengan turunnya beberapa indikator lainnya, seperti: (1) penurunan persentase pekerja formal sebesar 6,32 poin persentase, jauh lebih tinggi dari rata-rata yang hanya 4,59 poin persentase ( BPS, 2020 ); (2) penurunan upah rata-rata sebesar 6,81 persen, sedangkan penurunan nasional sebesar 5,41 persen (BPS, 2020); dan (3) penurunan PDRB per kapita atas dasar harga konstan sebesar 4,68 persen, sedangkan penurunan total 34 provinsi sebesar 3,15 persen (BPS, 2021b). Provinsi lain yang mengalami penurunan IPM menunjukkan gambaran serupa, terutama terkait melemahnya daya beli masyarakat akibat pandemi COVID-19.</w:t>
      </w:r>
    </w:p>
    <w:p w:rsidR="00FE7919" w:rsidRDefault="00FE7919" w:rsidP="00330020">
      <w:pPr>
        <w:pStyle w:val="NoSpacing"/>
        <w:spacing w:line="360" w:lineRule="auto"/>
        <w:ind w:left="426" w:firstLine="294"/>
        <w:jc w:val="both"/>
        <w:rPr>
          <w:rFonts w:ascii="Times New Roman" w:hAnsi="Times New Roman" w:cs="Times New Roman"/>
          <w:sz w:val="24"/>
          <w:szCs w:val="24"/>
        </w:rPr>
      </w:pPr>
    </w:p>
    <w:p w:rsidR="00FE7919" w:rsidRDefault="00FE7919" w:rsidP="00330020">
      <w:pPr>
        <w:pStyle w:val="NoSpacing"/>
        <w:spacing w:line="360" w:lineRule="auto"/>
        <w:ind w:left="426"/>
        <w:jc w:val="center"/>
        <w:rPr>
          <w:rFonts w:ascii="Times New Roman" w:hAnsi="Times New Roman" w:cs="Times New Roman"/>
          <w:sz w:val="24"/>
          <w:szCs w:val="24"/>
        </w:rPr>
      </w:pPr>
      <w:r w:rsidRPr="00FE7919">
        <w:rPr>
          <w:rFonts w:ascii="Times New Roman" w:hAnsi="Times New Roman" w:cs="Times New Roman"/>
          <w:b/>
          <w:sz w:val="24"/>
          <w:szCs w:val="24"/>
        </w:rPr>
        <w:t>Tabel 1. Provinsi dengan Penurunan IPM Tahun 2020</w:t>
      </w:r>
    </w:p>
    <w:tbl>
      <w:tblPr>
        <w:tblStyle w:val="PlainTable21"/>
        <w:tblW w:w="0" w:type="auto"/>
        <w:tblLook w:val="04A0" w:firstRow="1" w:lastRow="0" w:firstColumn="1" w:lastColumn="0" w:noHBand="0" w:noVBand="1"/>
      </w:tblPr>
      <w:tblGrid>
        <w:gridCol w:w="1920"/>
        <w:gridCol w:w="708"/>
        <w:gridCol w:w="709"/>
        <w:gridCol w:w="709"/>
        <w:gridCol w:w="710"/>
        <w:gridCol w:w="710"/>
        <w:gridCol w:w="710"/>
        <w:gridCol w:w="766"/>
        <w:gridCol w:w="766"/>
        <w:gridCol w:w="710"/>
        <w:gridCol w:w="710"/>
      </w:tblGrid>
      <w:tr w:rsidR="00FE7919" w:rsidRPr="00FE7919" w:rsidTr="00B52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vMerge w:val="restart"/>
          </w:tcPr>
          <w:p w:rsidR="00FE7919" w:rsidRPr="00FE7919" w:rsidRDefault="00FE7919" w:rsidP="00330020">
            <w:pPr>
              <w:spacing w:line="360" w:lineRule="auto"/>
              <w:jc w:val="center"/>
              <w:rPr>
                <w:rFonts w:ascii="Times New Roman" w:eastAsia="Calibri" w:hAnsi="Times New Roman" w:cs="Times New Roman"/>
                <w:sz w:val="20"/>
                <w:szCs w:val="20"/>
                <w:lang w:val="id-ID"/>
              </w:rPr>
            </w:pPr>
            <w:r>
              <w:rPr>
                <w:rFonts w:ascii="Times New Roman" w:eastAsia="Calibri" w:hAnsi="Times New Roman" w:cs="Times New Roman"/>
                <w:sz w:val="20"/>
                <w:szCs w:val="20"/>
              </w:rPr>
              <w:t>Pro</w:t>
            </w:r>
            <w:r>
              <w:rPr>
                <w:rFonts w:ascii="Times New Roman" w:eastAsia="Calibri" w:hAnsi="Times New Roman" w:cs="Times New Roman"/>
                <w:sz w:val="20"/>
                <w:szCs w:val="20"/>
                <w:lang w:val="id-ID"/>
              </w:rPr>
              <w:t>vinsi</w:t>
            </w:r>
          </w:p>
        </w:tc>
        <w:tc>
          <w:tcPr>
            <w:tcW w:w="1417" w:type="dxa"/>
            <w:gridSpan w:val="2"/>
          </w:tcPr>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UHH</w:t>
            </w:r>
          </w:p>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lang w:val="id-ID"/>
              </w:rPr>
              <w:t>Tahun</w:t>
            </w:r>
            <w:r w:rsidRPr="00FE7919">
              <w:rPr>
                <w:rFonts w:ascii="Times New Roman" w:eastAsia="Calibri" w:hAnsi="Times New Roman" w:cs="Times New Roman"/>
                <w:sz w:val="20"/>
                <w:szCs w:val="20"/>
              </w:rPr>
              <w:t>)</w:t>
            </w:r>
          </w:p>
        </w:tc>
        <w:tc>
          <w:tcPr>
            <w:tcW w:w="1419" w:type="dxa"/>
            <w:gridSpan w:val="2"/>
          </w:tcPr>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HLS</w:t>
            </w:r>
          </w:p>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lang w:val="id-ID"/>
              </w:rPr>
              <w:t>Tahun</w:t>
            </w:r>
            <w:r w:rsidRPr="00FE7919">
              <w:rPr>
                <w:rFonts w:ascii="Times New Roman" w:eastAsia="Calibri" w:hAnsi="Times New Roman" w:cs="Times New Roman"/>
                <w:sz w:val="20"/>
                <w:szCs w:val="20"/>
              </w:rPr>
              <w:t>)</w:t>
            </w:r>
          </w:p>
        </w:tc>
        <w:tc>
          <w:tcPr>
            <w:tcW w:w="1420" w:type="dxa"/>
            <w:gridSpan w:val="2"/>
          </w:tcPr>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RLS</w:t>
            </w:r>
          </w:p>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lang w:val="id-ID"/>
              </w:rPr>
              <w:t>Tahun</w:t>
            </w:r>
            <w:r w:rsidRPr="00FE7919">
              <w:rPr>
                <w:rFonts w:ascii="Times New Roman" w:eastAsia="Calibri" w:hAnsi="Times New Roman" w:cs="Times New Roman"/>
                <w:sz w:val="20"/>
                <w:szCs w:val="20"/>
              </w:rPr>
              <w:t>)</w:t>
            </w:r>
          </w:p>
        </w:tc>
        <w:tc>
          <w:tcPr>
            <w:tcW w:w="1420" w:type="dxa"/>
            <w:gridSpan w:val="2"/>
          </w:tcPr>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lang w:val="id-ID"/>
              </w:rPr>
              <w:t>Pengeluaran per k</w:t>
            </w:r>
            <w:proofErr w:type="spellStart"/>
            <w:r>
              <w:rPr>
                <w:rFonts w:ascii="Times New Roman" w:eastAsia="Calibri" w:hAnsi="Times New Roman" w:cs="Times New Roman"/>
                <w:sz w:val="20"/>
                <w:szCs w:val="20"/>
              </w:rPr>
              <w:t>apita</w:t>
            </w:r>
            <w:proofErr w:type="spellEnd"/>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id-ID"/>
              </w:rPr>
              <w:t>Ribuan</w:t>
            </w:r>
            <w:r w:rsidRPr="00FE7919">
              <w:rPr>
                <w:rFonts w:ascii="Times New Roman" w:eastAsia="Calibri" w:hAnsi="Times New Roman" w:cs="Times New Roman"/>
                <w:sz w:val="20"/>
                <w:szCs w:val="20"/>
              </w:rPr>
              <w:t xml:space="preserve"> Rupiah)</w:t>
            </w:r>
          </w:p>
        </w:tc>
        <w:tc>
          <w:tcPr>
            <w:tcW w:w="1420" w:type="dxa"/>
            <w:gridSpan w:val="2"/>
          </w:tcPr>
          <w:p w:rsidR="00FE7919" w:rsidRPr="00FE7919" w:rsidRDefault="00FE7919" w:rsidP="0033002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IPM</w:t>
            </w:r>
          </w:p>
        </w:tc>
      </w:tr>
      <w:tr w:rsidR="00FE7919" w:rsidRPr="00FE7919" w:rsidTr="00B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vMerge/>
          </w:tcPr>
          <w:p w:rsidR="00FE7919" w:rsidRPr="00FE7919" w:rsidRDefault="00FE7919" w:rsidP="00330020">
            <w:pPr>
              <w:spacing w:line="360" w:lineRule="auto"/>
              <w:jc w:val="both"/>
              <w:rPr>
                <w:rFonts w:ascii="Times New Roman" w:eastAsia="Calibri" w:hAnsi="Times New Roman" w:cs="Times New Roman"/>
                <w:sz w:val="20"/>
                <w:szCs w:val="20"/>
              </w:rPr>
            </w:pPr>
          </w:p>
        </w:tc>
        <w:tc>
          <w:tcPr>
            <w:tcW w:w="708"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2019</w:t>
            </w:r>
          </w:p>
        </w:tc>
        <w:tc>
          <w:tcPr>
            <w:tcW w:w="709"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2020</w:t>
            </w:r>
          </w:p>
        </w:tc>
        <w:tc>
          <w:tcPr>
            <w:tcW w:w="709"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2019</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2020</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2019</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2020</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2019</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2020</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2019</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2020</w:t>
            </w:r>
          </w:p>
        </w:tc>
      </w:tr>
      <w:tr w:rsidR="00FE7919" w:rsidRPr="00FE7919" w:rsidTr="00B524B1">
        <w:tc>
          <w:tcPr>
            <w:cnfStyle w:val="001000000000" w:firstRow="0" w:lastRow="0" w:firstColumn="1" w:lastColumn="0" w:oddVBand="0" w:evenVBand="0" w:oddHBand="0" w:evenHBand="0" w:firstRowFirstColumn="0" w:firstRowLastColumn="0" w:lastRowFirstColumn="0" w:lastRowLastColumn="0"/>
            <w:tcW w:w="1920" w:type="dxa"/>
          </w:tcPr>
          <w:p w:rsidR="00FE7919" w:rsidRPr="00100FE4" w:rsidRDefault="00FE7919" w:rsidP="00330020">
            <w:pPr>
              <w:spacing w:line="360" w:lineRule="auto"/>
              <w:rPr>
                <w:rFonts w:ascii="Times New Roman" w:eastAsia="Calibri" w:hAnsi="Times New Roman" w:cs="Times New Roman"/>
                <w:sz w:val="20"/>
                <w:szCs w:val="20"/>
                <w:lang w:val="id-ID"/>
              </w:rPr>
            </w:pPr>
            <w:r w:rsidRPr="00FE7919">
              <w:rPr>
                <w:rFonts w:ascii="Times New Roman" w:eastAsia="Calibri" w:hAnsi="Times New Roman" w:cs="Times New Roman"/>
                <w:sz w:val="20"/>
                <w:szCs w:val="20"/>
              </w:rPr>
              <w:t>Kalimantan</w:t>
            </w:r>
            <w:r w:rsidR="00100FE4">
              <w:rPr>
                <w:rFonts w:ascii="Times New Roman" w:eastAsia="Calibri" w:hAnsi="Times New Roman" w:cs="Times New Roman"/>
                <w:sz w:val="20"/>
                <w:szCs w:val="20"/>
                <w:lang w:val="id-ID"/>
              </w:rPr>
              <w:t xml:space="preserve"> Utara</w:t>
            </w:r>
          </w:p>
        </w:tc>
        <w:tc>
          <w:tcPr>
            <w:tcW w:w="708"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72.54</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72.59</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12.84</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12.93</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8.94</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9.00</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9.343</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8.756</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71.15</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70.03</w:t>
            </w:r>
          </w:p>
        </w:tc>
      </w:tr>
      <w:tr w:rsidR="00FE7919" w:rsidRPr="00FE7919" w:rsidTr="00B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FE7919" w:rsidRPr="00FE7919" w:rsidRDefault="00FE7919" w:rsidP="00330020">
            <w:pPr>
              <w:spacing w:line="360" w:lineRule="auto"/>
              <w:rPr>
                <w:rFonts w:ascii="Times New Roman" w:eastAsia="Calibri" w:hAnsi="Times New Roman" w:cs="Times New Roman"/>
                <w:sz w:val="20"/>
                <w:szCs w:val="20"/>
              </w:rPr>
            </w:pPr>
            <w:r w:rsidRPr="00FE7919">
              <w:rPr>
                <w:rFonts w:ascii="Times New Roman" w:eastAsia="Calibri" w:hAnsi="Times New Roman" w:cs="Times New Roman"/>
                <w:sz w:val="20"/>
                <w:szCs w:val="20"/>
              </w:rPr>
              <w:t>Papua</w:t>
            </w:r>
          </w:p>
        </w:tc>
        <w:tc>
          <w:tcPr>
            <w:tcW w:w="708"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65.65</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65.79</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11.05</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11.08</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6.65</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6.69</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7.336</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6.954</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60.84</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60.44</w:t>
            </w:r>
          </w:p>
        </w:tc>
      </w:tr>
      <w:tr w:rsidR="00FE7919" w:rsidRPr="00FE7919" w:rsidTr="00B524B1">
        <w:tc>
          <w:tcPr>
            <w:cnfStyle w:val="001000000000" w:firstRow="0" w:lastRow="0" w:firstColumn="1" w:lastColumn="0" w:oddVBand="0" w:evenVBand="0" w:oddHBand="0" w:evenHBand="0" w:firstRowFirstColumn="0" w:firstRowLastColumn="0" w:lastRowFirstColumn="0" w:lastRowLastColumn="0"/>
            <w:tcW w:w="1920" w:type="dxa"/>
          </w:tcPr>
          <w:p w:rsidR="00FE7919" w:rsidRPr="00100FE4" w:rsidRDefault="00FE7919" w:rsidP="00330020">
            <w:pPr>
              <w:spacing w:line="360" w:lineRule="auto"/>
              <w:rPr>
                <w:rFonts w:ascii="Times New Roman" w:eastAsia="Calibri" w:hAnsi="Times New Roman" w:cs="Times New Roman"/>
                <w:sz w:val="20"/>
                <w:szCs w:val="20"/>
                <w:lang w:val="id-ID"/>
              </w:rPr>
            </w:pPr>
            <w:r w:rsidRPr="00FE7919">
              <w:rPr>
                <w:rFonts w:ascii="Times New Roman" w:eastAsia="Calibri" w:hAnsi="Times New Roman" w:cs="Times New Roman"/>
                <w:sz w:val="20"/>
                <w:szCs w:val="20"/>
              </w:rPr>
              <w:t>Kalimantan</w:t>
            </w:r>
            <w:r w:rsidR="00100FE4">
              <w:rPr>
                <w:rFonts w:ascii="Times New Roman" w:eastAsia="Calibri" w:hAnsi="Times New Roman" w:cs="Times New Roman"/>
                <w:sz w:val="20"/>
                <w:szCs w:val="20"/>
                <w:lang w:val="id-ID"/>
              </w:rPr>
              <w:t xml:space="preserve"> Timur</w:t>
            </w:r>
          </w:p>
        </w:tc>
        <w:tc>
          <w:tcPr>
            <w:tcW w:w="708"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74.22</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74.33</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13.69</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13.72</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9.70</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9.77</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12.359</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11.728</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76.61</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76.24</w:t>
            </w:r>
          </w:p>
        </w:tc>
      </w:tr>
      <w:tr w:rsidR="00FE7919" w:rsidRPr="00FE7919" w:rsidTr="00B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FE7919" w:rsidRPr="00FE7919" w:rsidRDefault="00FE7919" w:rsidP="00330020">
            <w:pPr>
              <w:spacing w:line="360" w:lineRule="auto"/>
              <w:rPr>
                <w:rFonts w:ascii="Times New Roman" w:eastAsia="Calibri" w:hAnsi="Times New Roman" w:cs="Times New Roman"/>
                <w:sz w:val="20"/>
                <w:szCs w:val="20"/>
              </w:rPr>
            </w:pPr>
            <w:r w:rsidRPr="00FE7919">
              <w:rPr>
                <w:rFonts w:ascii="Times New Roman" w:eastAsia="Calibri" w:hAnsi="Times New Roman" w:cs="Times New Roman"/>
                <w:sz w:val="20"/>
                <w:szCs w:val="20"/>
              </w:rPr>
              <w:t>Riau</w:t>
            </w:r>
          </w:p>
        </w:tc>
        <w:tc>
          <w:tcPr>
            <w:tcW w:w="708"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71.48</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71.60</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13.14</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13.20</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9.03</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9.14</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11.255</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10.675</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73.00</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72.71</w:t>
            </w:r>
          </w:p>
        </w:tc>
      </w:tr>
      <w:tr w:rsidR="00FE7919" w:rsidRPr="00FE7919" w:rsidTr="00B524B1">
        <w:tc>
          <w:tcPr>
            <w:cnfStyle w:val="001000000000" w:firstRow="0" w:lastRow="0" w:firstColumn="1" w:lastColumn="0" w:oddVBand="0" w:evenVBand="0" w:oddHBand="0" w:evenHBand="0" w:firstRowFirstColumn="0" w:firstRowLastColumn="0" w:lastRowFirstColumn="0" w:lastRowLastColumn="0"/>
            <w:tcW w:w="1920" w:type="dxa"/>
          </w:tcPr>
          <w:p w:rsidR="00FE7919" w:rsidRPr="00100FE4" w:rsidRDefault="00FE7919" w:rsidP="00330020">
            <w:pPr>
              <w:spacing w:line="360" w:lineRule="auto"/>
              <w:rPr>
                <w:rFonts w:ascii="Times New Roman" w:eastAsia="Calibri" w:hAnsi="Times New Roman" w:cs="Times New Roman"/>
                <w:sz w:val="20"/>
                <w:szCs w:val="20"/>
                <w:lang w:val="id-ID"/>
              </w:rPr>
            </w:pPr>
            <w:r w:rsidRPr="00FE7919">
              <w:rPr>
                <w:rFonts w:ascii="Times New Roman" w:eastAsia="Calibri" w:hAnsi="Times New Roman" w:cs="Times New Roman"/>
                <w:sz w:val="20"/>
                <w:szCs w:val="20"/>
              </w:rPr>
              <w:t>Maluku</w:t>
            </w:r>
            <w:r w:rsidR="00100FE4">
              <w:rPr>
                <w:rFonts w:ascii="Times New Roman" w:eastAsia="Calibri" w:hAnsi="Times New Roman" w:cs="Times New Roman"/>
                <w:sz w:val="20"/>
                <w:szCs w:val="20"/>
                <w:lang w:val="id-ID"/>
              </w:rPr>
              <w:t xml:space="preserve"> Utara</w:t>
            </w:r>
          </w:p>
        </w:tc>
        <w:tc>
          <w:tcPr>
            <w:tcW w:w="708"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68.18</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68.33</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13.63</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13.67</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9.00</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9.04</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8.308</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8.032</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68.70</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68.49</w:t>
            </w:r>
          </w:p>
        </w:tc>
      </w:tr>
      <w:tr w:rsidR="00FE7919" w:rsidRPr="00FE7919" w:rsidTr="00B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FE7919" w:rsidRPr="00100FE4" w:rsidRDefault="00FE7919" w:rsidP="00330020">
            <w:pPr>
              <w:spacing w:line="360" w:lineRule="auto"/>
              <w:rPr>
                <w:rFonts w:ascii="Times New Roman" w:eastAsia="Calibri" w:hAnsi="Times New Roman" w:cs="Times New Roman"/>
                <w:sz w:val="20"/>
                <w:szCs w:val="20"/>
                <w:lang w:val="id-ID"/>
              </w:rPr>
            </w:pPr>
            <w:r w:rsidRPr="00FE7919">
              <w:rPr>
                <w:rFonts w:ascii="Times New Roman" w:eastAsia="Calibri" w:hAnsi="Times New Roman" w:cs="Times New Roman"/>
                <w:sz w:val="20"/>
                <w:szCs w:val="20"/>
              </w:rPr>
              <w:t>Sulawesi</w:t>
            </w:r>
            <w:r w:rsidR="00100FE4">
              <w:rPr>
                <w:rFonts w:ascii="Times New Roman" w:eastAsia="Calibri" w:hAnsi="Times New Roman" w:cs="Times New Roman"/>
                <w:sz w:val="20"/>
                <w:szCs w:val="20"/>
                <w:lang w:val="id-ID"/>
              </w:rPr>
              <w:t xml:space="preserve"> Utara</w:t>
            </w:r>
          </w:p>
        </w:tc>
        <w:tc>
          <w:tcPr>
            <w:tcW w:w="708"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71.58</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71.69</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12.73</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12.85</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9.43</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9.49</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11.115</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10.791</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72.99</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72.93</w:t>
            </w:r>
          </w:p>
        </w:tc>
      </w:tr>
      <w:tr w:rsidR="00FE7919" w:rsidRPr="00FE7919" w:rsidTr="00B524B1">
        <w:tc>
          <w:tcPr>
            <w:cnfStyle w:val="001000000000" w:firstRow="0" w:lastRow="0" w:firstColumn="1" w:lastColumn="0" w:oddVBand="0" w:evenVBand="0" w:oddHBand="0" w:evenHBand="0" w:firstRowFirstColumn="0" w:firstRowLastColumn="0" w:lastRowFirstColumn="0" w:lastRowLastColumn="0"/>
            <w:tcW w:w="1920" w:type="dxa"/>
          </w:tcPr>
          <w:p w:rsidR="00FE7919" w:rsidRPr="00100FE4" w:rsidRDefault="00FE7919" w:rsidP="00330020">
            <w:pPr>
              <w:spacing w:line="360" w:lineRule="auto"/>
              <w:rPr>
                <w:rFonts w:ascii="Times New Roman" w:eastAsia="Calibri" w:hAnsi="Times New Roman" w:cs="Times New Roman"/>
                <w:sz w:val="20"/>
                <w:szCs w:val="20"/>
                <w:lang w:val="id-ID"/>
              </w:rPr>
            </w:pPr>
            <w:r w:rsidRPr="00FE7919">
              <w:rPr>
                <w:rFonts w:ascii="Times New Roman" w:eastAsia="Calibri" w:hAnsi="Times New Roman" w:cs="Times New Roman"/>
                <w:sz w:val="20"/>
                <w:szCs w:val="20"/>
              </w:rPr>
              <w:t>Nusa Tenggara</w:t>
            </w:r>
            <w:r w:rsidR="00100FE4">
              <w:rPr>
                <w:rFonts w:ascii="Times New Roman" w:eastAsia="Calibri" w:hAnsi="Times New Roman" w:cs="Times New Roman"/>
                <w:sz w:val="20"/>
                <w:szCs w:val="20"/>
                <w:lang w:val="id-ID"/>
              </w:rPr>
              <w:t xml:space="preserve"> Timur</w:t>
            </w:r>
          </w:p>
        </w:tc>
        <w:tc>
          <w:tcPr>
            <w:tcW w:w="708"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66.85</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67.01</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13.15</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13.18</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7.55</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7.63</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7.769</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7.598</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65.23</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65.19</w:t>
            </w:r>
          </w:p>
        </w:tc>
      </w:tr>
      <w:tr w:rsidR="00FE7919" w:rsidRPr="00FE7919" w:rsidTr="00B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FE7919" w:rsidRPr="00FE7919" w:rsidRDefault="00FE7919" w:rsidP="00330020">
            <w:pPr>
              <w:spacing w:line="360" w:lineRule="auto"/>
              <w:jc w:val="both"/>
              <w:rPr>
                <w:rFonts w:ascii="Times New Roman" w:eastAsia="Calibri" w:hAnsi="Times New Roman" w:cs="Times New Roman"/>
                <w:sz w:val="20"/>
                <w:szCs w:val="20"/>
              </w:rPr>
            </w:pPr>
            <w:r w:rsidRPr="00FE7919">
              <w:rPr>
                <w:rFonts w:ascii="Times New Roman" w:eastAsia="Calibri" w:hAnsi="Times New Roman" w:cs="Times New Roman"/>
                <w:sz w:val="20"/>
                <w:szCs w:val="20"/>
              </w:rPr>
              <w:t>DI Yogyakarta</w:t>
            </w:r>
          </w:p>
        </w:tc>
        <w:tc>
          <w:tcPr>
            <w:tcW w:w="708"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74.92</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74.99</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15.58</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15.59</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9.38</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9.55</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14.394</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14.015</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79.99</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79.97</w:t>
            </w:r>
          </w:p>
        </w:tc>
      </w:tr>
      <w:tr w:rsidR="00FE7919" w:rsidRPr="00FE7919" w:rsidTr="00B524B1">
        <w:tc>
          <w:tcPr>
            <w:cnfStyle w:val="001000000000" w:firstRow="0" w:lastRow="0" w:firstColumn="1" w:lastColumn="0" w:oddVBand="0" w:evenVBand="0" w:oddHBand="0" w:evenHBand="0" w:firstRowFirstColumn="0" w:firstRowLastColumn="0" w:lastRowFirstColumn="0" w:lastRowLastColumn="0"/>
            <w:tcW w:w="1920" w:type="dxa"/>
          </w:tcPr>
          <w:p w:rsidR="00FE7919" w:rsidRPr="00100FE4" w:rsidRDefault="00FE7919" w:rsidP="00330020">
            <w:pPr>
              <w:spacing w:line="360" w:lineRule="auto"/>
              <w:jc w:val="both"/>
              <w:rPr>
                <w:rFonts w:ascii="Times New Roman" w:eastAsia="Calibri" w:hAnsi="Times New Roman" w:cs="Times New Roman"/>
                <w:sz w:val="20"/>
                <w:szCs w:val="20"/>
                <w:lang w:val="id-ID"/>
              </w:rPr>
            </w:pPr>
            <w:r w:rsidRPr="00FE7919">
              <w:rPr>
                <w:rFonts w:ascii="Times New Roman" w:eastAsia="Calibri" w:hAnsi="Times New Roman" w:cs="Times New Roman"/>
                <w:sz w:val="20"/>
                <w:szCs w:val="20"/>
              </w:rPr>
              <w:t>Sumatera</w:t>
            </w:r>
            <w:r w:rsidR="00100FE4">
              <w:rPr>
                <w:rFonts w:ascii="Times New Roman" w:eastAsia="Calibri" w:hAnsi="Times New Roman" w:cs="Times New Roman"/>
                <w:sz w:val="20"/>
                <w:szCs w:val="20"/>
                <w:lang w:val="id-ID"/>
              </w:rPr>
              <w:t xml:space="preserve"> Barat</w:t>
            </w:r>
          </w:p>
        </w:tc>
        <w:tc>
          <w:tcPr>
            <w:tcW w:w="708"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69.31</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69.47</w:t>
            </w:r>
          </w:p>
        </w:tc>
        <w:tc>
          <w:tcPr>
            <w:tcW w:w="709"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14.01</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14.02</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8.92</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8.99</w:t>
            </w:r>
          </w:p>
        </w:tc>
        <w:tc>
          <w:tcPr>
            <w:tcW w:w="710" w:type="dxa"/>
          </w:tcPr>
          <w:p w:rsidR="00FE7919" w:rsidRPr="00FE7919" w:rsidRDefault="00FE7919" w:rsidP="0033002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10.925</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10.733</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72.39</w:t>
            </w:r>
          </w:p>
        </w:tc>
        <w:tc>
          <w:tcPr>
            <w:tcW w:w="710" w:type="dxa"/>
          </w:tcPr>
          <w:p w:rsidR="00FE7919" w:rsidRPr="00FE7919" w:rsidRDefault="00FE7919" w:rsidP="0033002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72.27</w:t>
            </w:r>
          </w:p>
        </w:tc>
      </w:tr>
      <w:tr w:rsidR="00FE7919" w:rsidRPr="00FE7919" w:rsidTr="00B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rsidR="00FE7919" w:rsidRPr="00100FE4" w:rsidRDefault="00FE7919" w:rsidP="00330020">
            <w:pPr>
              <w:spacing w:line="360" w:lineRule="auto"/>
              <w:jc w:val="both"/>
              <w:rPr>
                <w:rFonts w:ascii="Times New Roman" w:eastAsia="Calibri" w:hAnsi="Times New Roman" w:cs="Times New Roman"/>
                <w:sz w:val="20"/>
                <w:szCs w:val="20"/>
                <w:lang w:val="id-ID"/>
              </w:rPr>
            </w:pPr>
            <w:r w:rsidRPr="00FE7919">
              <w:rPr>
                <w:rFonts w:ascii="Times New Roman" w:eastAsia="Calibri" w:hAnsi="Times New Roman" w:cs="Times New Roman"/>
                <w:sz w:val="20"/>
                <w:szCs w:val="20"/>
              </w:rPr>
              <w:t>Sumatera</w:t>
            </w:r>
            <w:r w:rsidR="00100FE4">
              <w:rPr>
                <w:rFonts w:ascii="Times New Roman" w:eastAsia="Calibri" w:hAnsi="Times New Roman" w:cs="Times New Roman"/>
                <w:sz w:val="20"/>
                <w:szCs w:val="20"/>
                <w:lang w:val="id-ID"/>
              </w:rPr>
              <w:t xml:space="preserve"> Selatan</w:t>
            </w:r>
          </w:p>
        </w:tc>
        <w:tc>
          <w:tcPr>
            <w:tcW w:w="708"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69.65</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69.88</w:t>
            </w:r>
          </w:p>
        </w:tc>
        <w:tc>
          <w:tcPr>
            <w:tcW w:w="709"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12.39</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12.45</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8.18</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8.24</w:t>
            </w:r>
          </w:p>
        </w:tc>
        <w:tc>
          <w:tcPr>
            <w:tcW w:w="710" w:type="dxa"/>
          </w:tcPr>
          <w:p w:rsidR="00FE7919" w:rsidRPr="00FE7919" w:rsidRDefault="00FE7919" w:rsidP="0033002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10.937</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10.652</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70.02</w:t>
            </w:r>
          </w:p>
        </w:tc>
        <w:tc>
          <w:tcPr>
            <w:tcW w:w="710" w:type="dxa"/>
          </w:tcPr>
          <w:p w:rsidR="00FE7919" w:rsidRPr="00FE7919" w:rsidRDefault="00FE7919" w:rsidP="0033002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FE7919">
              <w:rPr>
                <w:rFonts w:ascii="Times New Roman" w:eastAsia="Calibri" w:hAnsi="Times New Roman" w:cs="Times New Roman"/>
                <w:sz w:val="20"/>
                <w:szCs w:val="20"/>
              </w:rPr>
              <w:t>70.01</w:t>
            </w:r>
          </w:p>
        </w:tc>
      </w:tr>
    </w:tbl>
    <w:p w:rsidR="00DF013D" w:rsidRPr="00BB1308" w:rsidRDefault="00DF013D" w:rsidP="00330020">
      <w:pPr>
        <w:pStyle w:val="NoSpacing"/>
        <w:spacing w:line="360" w:lineRule="auto"/>
        <w:jc w:val="both"/>
        <w:rPr>
          <w:rFonts w:ascii="Times New Roman" w:hAnsi="Times New Roman" w:cs="Times New Roman"/>
          <w:sz w:val="24"/>
          <w:szCs w:val="24"/>
        </w:rPr>
      </w:pPr>
    </w:p>
    <w:p w:rsidR="008164DC" w:rsidRDefault="004223DB" w:rsidP="00330020">
      <w:pPr>
        <w:pStyle w:val="NoSpacing"/>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Kesimpulan</w:t>
      </w:r>
    </w:p>
    <w:p w:rsidR="004223DB" w:rsidRDefault="004223DB" w:rsidP="00330020">
      <w:pPr>
        <w:pStyle w:val="NoSpacing"/>
        <w:spacing w:line="360" w:lineRule="auto"/>
        <w:ind w:left="426" w:firstLine="294"/>
        <w:jc w:val="both"/>
        <w:rPr>
          <w:rFonts w:ascii="Times New Roman" w:hAnsi="Times New Roman" w:cs="Times New Roman"/>
          <w:sz w:val="24"/>
          <w:szCs w:val="24"/>
        </w:rPr>
      </w:pPr>
      <w:r w:rsidRPr="004223DB">
        <w:rPr>
          <w:rFonts w:ascii="Times New Roman" w:hAnsi="Times New Roman" w:cs="Times New Roman"/>
          <w:sz w:val="24"/>
          <w:szCs w:val="24"/>
        </w:rPr>
        <w:t xml:space="preserve">Pandemi COVID-19 berdampak negatif terhadap kualitas masyarakat Indonesia. Badan Pusat Statistik (BPS) mencatat Indeks Pembangunan Manusia (IPM) nasional 2020 hanya tumbuh 0,03 persen atau cenderung </w:t>
      </w:r>
      <w:r>
        <w:rPr>
          <w:rFonts w:ascii="Times New Roman" w:hAnsi="Times New Roman" w:cs="Times New Roman"/>
          <w:sz w:val="24"/>
          <w:szCs w:val="24"/>
        </w:rPr>
        <w:t>tidak mengalami kemajuan</w:t>
      </w:r>
      <w:r w:rsidRPr="004223DB">
        <w:rPr>
          <w:rFonts w:ascii="Times New Roman" w:hAnsi="Times New Roman" w:cs="Times New Roman"/>
          <w:sz w:val="24"/>
          <w:szCs w:val="24"/>
        </w:rPr>
        <w:t xml:space="preserve"> menjadi 71,94 dari tahun lalu 71,92. BPS juga mencatat IPM sepuluh daerah yang mengalami penurunan tahun ini, yaitu: Kalimantan Utara, Papua, Kalimantan Timur, Riau, Maluku Utara, Sulawesi Utara, Nusa Tenggara Timur, DI Yogyakarta, Sumatera Selatan, dan Sumatera Barat.</w:t>
      </w:r>
    </w:p>
    <w:p w:rsidR="00580E75" w:rsidRPr="00580E75" w:rsidRDefault="00580E75" w:rsidP="00330020">
      <w:pPr>
        <w:pStyle w:val="NoSpacing"/>
        <w:spacing w:line="360" w:lineRule="auto"/>
        <w:ind w:left="426" w:firstLine="294"/>
        <w:jc w:val="both"/>
        <w:rPr>
          <w:rFonts w:ascii="Times New Roman" w:hAnsi="Times New Roman" w:cs="Times New Roman"/>
          <w:sz w:val="24"/>
          <w:szCs w:val="24"/>
        </w:rPr>
      </w:pPr>
      <w:r w:rsidRPr="00580E75">
        <w:rPr>
          <w:rFonts w:ascii="Times New Roman" w:hAnsi="Times New Roman" w:cs="Times New Roman"/>
          <w:sz w:val="24"/>
          <w:szCs w:val="24"/>
        </w:rPr>
        <w:t>Rendahnya pertumbuhan IPM nasional tahun ini dipengaruhi oleh penurunan komponen belanja per kapita atas dasar penyesuaian harga konstan 2021 (Paritas Daya Beli/PPP). PPP Indonesia tahun ini Rp 11 juta, turun 2,53 persen dibandingkan 2019. Penurunan PPP tahun ini menghentikan tren kenaikan selama satu dekade terakhir. Pada tahun 2010, PPP tercatat sebesar Rp. 9,64 juta dan secara bertahap meningkat hingga tahun lalu mencapai Rp. 11,299 juta. Hal ini sejalan dengan melemahnya perekonomian Indonesia saat pandemi COVID-19 dipengaruhi oleh pembatasan sosial berskala besar (PSBB) yang menghambat mobilitas masyarakat dan aktivitas ekonomi. Indonesia berada dalam resesi setelah ekonomi tahun ini tumbuh negatif selama dua kuartal berturut-turut.</w:t>
      </w:r>
    </w:p>
    <w:p w:rsidR="001056F9" w:rsidRPr="001056F9" w:rsidRDefault="001056F9" w:rsidP="00330020">
      <w:pPr>
        <w:pStyle w:val="NoSpacing"/>
        <w:spacing w:line="360" w:lineRule="auto"/>
        <w:ind w:left="426" w:firstLine="294"/>
        <w:jc w:val="both"/>
        <w:rPr>
          <w:rFonts w:ascii="Times New Roman" w:hAnsi="Times New Roman" w:cs="Times New Roman"/>
          <w:sz w:val="24"/>
          <w:szCs w:val="24"/>
        </w:rPr>
      </w:pPr>
      <w:r w:rsidRPr="001056F9">
        <w:rPr>
          <w:rFonts w:ascii="Times New Roman" w:hAnsi="Times New Roman" w:cs="Times New Roman"/>
          <w:sz w:val="24"/>
          <w:szCs w:val="24"/>
        </w:rPr>
        <w:t>Angka kemiskinan dan pengangguran di Indonesia juga meningkat selama pandemi COVID-19. Pada Maret 2020, angka kemiskinan tercatat sebesar 9,78 persen atau setara dengan 26,42 juta orang. Angka tersebut merupakan yang tertinggi sejak September 2017. Kemudian, Tingkat Pengangguran Terbuka (TPT) meningkat dari 4,94 persen atau 7 juta orang menganggur pada Agustus 2019 menjadi 7,07 persen atau 9,8 juta orang pada Agustus 2020.</w:t>
      </w:r>
    </w:p>
    <w:p w:rsidR="001018DF" w:rsidRPr="001018DF" w:rsidRDefault="001018DF" w:rsidP="00330020">
      <w:pPr>
        <w:pStyle w:val="NoSpacing"/>
        <w:spacing w:line="360" w:lineRule="auto"/>
        <w:ind w:left="426" w:firstLine="294"/>
        <w:jc w:val="both"/>
        <w:rPr>
          <w:rFonts w:ascii="Times New Roman" w:hAnsi="Times New Roman" w:cs="Times New Roman"/>
          <w:sz w:val="24"/>
          <w:szCs w:val="24"/>
        </w:rPr>
      </w:pPr>
      <w:r w:rsidRPr="001018DF">
        <w:rPr>
          <w:rFonts w:ascii="Times New Roman" w:hAnsi="Times New Roman" w:cs="Times New Roman"/>
          <w:sz w:val="24"/>
          <w:szCs w:val="24"/>
        </w:rPr>
        <w:t>Komponen Harapan Tahun Pelajaran (SLB) penduduk usia 7 tahun, berdasarkan catatan BPS, hanya meningkat 0,03 tahun dari 12,95 tahun menjadi 12,98 tahun. Kemudian, rata-rata lama sekolah (RLS) penduduk usia 25 tahun ke atas hanya meningkat 0,14 tahun dari 8,34 tahun menjadi 8,48 tahun. Pertumbuhan HLS dan RLS menunjukkan bahwa pembangunan pendidikan nasional tahun ini tidak mulus. Kondisi ini disebabkan oleh penerapan metode pembelajaran jarak jauh yang belum efektif menjangkau seluruh siswa di Indonesia. Ada sejumlah kendala yang dihadapi anak-anak dalam mengikuti pembelajaran di masa pandemi, di antaranya tidak bisa mengatur waktu belajar, kesulitan memahami mata pelajaran, dan tidak memahami instruksi guru. Masalah pendidikan lainnya adalah potensi anak putus sekolah akibat menurunnya pendapatan orang tua di masa pandemi. Untuk tetap bertahan, mereka menggunakan strategi ekstrem, termasuk menyerahkan anak-anak mereka untuk bekerja. Langkah ini berpotensi membuat anak putus sekolah. Beberapa guru yang melaksanakan pembelajaran jarak jauh bersedia menyesuaikan kurikulum dengan tingkat belajar siswa.</w:t>
      </w:r>
    </w:p>
    <w:p w:rsidR="004223DB" w:rsidRDefault="001018DF" w:rsidP="00330020">
      <w:pPr>
        <w:pStyle w:val="NoSpacing"/>
        <w:spacing w:line="360" w:lineRule="auto"/>
        <w:ind w:left="426" w:firstLine="294"/>
        <w:jc w:val="both"/>
        <w:rPr>
          <w:rFonts w:ascii="Times New Roman" w:hAnsi="Times New Roman" w:cs="Times New Roman"/>
          <w:sz w:val="24"/>
          <w:szCs w:val="24"/>
        </w:rPr>
      </w:pPr>
      <w:r w:rsidRPr="001018DF">
        <w:rPr>
          <w:rFonts w:ascii="Times New Roman" w:hAnsi="Times New Roman" w:cs="Times New Roman"/>
          <w:sz w:val="24"/>
          <w:szCs w:val="24"/>
        </w:rPr>
        <w:t>Komponen terakhir adalah Angka Harapan Hidup Saat Lahir (UHH) yang meningkat 0,13 tahun dibandingkan 2019 menjadi 71,47 tahun pada 2020. Artinya, usia harapan hidup masyarakat Indonesia hanya sampai 72 tahun. Pertumbuhan ini cenderung stagnan jika dibandingkan tahun 2018 hingga 2019 yang meningkat 0,14 tahun.</w:t>
      </w:r>
    </w:p>
    <w:p w:rsidR="001018DF" w:rsidRPr="004223DB" w:rsidRDefault="001018DF" w:rsidP="00330020">
      <w:pPr>
        <w:pStyle w:val="NoSpacing"/>
        <w:spacing w:line="360" w:lineRule="auto"/>
        <w:ind w:left="426" w:firstLine="294"/>
        <w:jc w:val="both"/>
        <w:rPr>
          <w:rFonts w:ascii="Times New Roman" w:hAnsi="Times New Roman" w:cs="Times New Roman"/>
          <w:sz w:val="24"/>
          <w:szCs w:val="24"/>
        </w:rPr>
      </w:pPr>
      <w:r w:rsidRPr="001018DF">
        <w:rPr>
          <w:rFonts w:ascii="Times New Roman" w:hAnsi="Times New Roman" w:cs="Times New Roman"/>
          <w:sz w:val="24"/>
          <w:szCs w:val="24"/>
        </w:rPr>
        <w:t>Berdasarkan data di atas, penting bagi pemerintah untuk meningkatkan perekonomian, pendidikan, dan kesehatan pascapandemi COVID-19. Terutama di Luar Jawa yang selama ini tertinggal, seperti Papua dan Papua Barat.</w:t>
      </w:r>
    </w:p>
    <w:p w:rsidR="004223DB" w:rsidRDefault="004223DB" w:rsidP="00330020">
      <w:pPr>
        <w:pStyle w:val="NoSpacing"/>
        <w:spacing w:line="360" w:lineRule="auto"/>
        <w:ind w:left="426"/>
        <w:jc w:val="both"/>
        <w:rPr>
          <w:rFonts w:ascii="Times New Roman" w:hAnsi="Times New Roman" w:cs="Times New Roman"/>
          <w:sz w:val="24"/>
          <w:szCs w:val="24"/>
        </w:rPr>
      </w:pPr>
    </w:p>
    <w:p w:rsidR="00954965" w:rsidRDefault="00954965" w:rsidP="00330020">
      <w:pPr>
        <w:pStyle w:val="NoSpacing"/>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REFERENSI</w:t>
      </w:r>
    </w:p>
    <w:p w:rsidR="009805C4" w:rsidRPr="009805C4"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Badan Pusat Statistik. (2015). Indeks Pembangunan Manusia 2014. Jakarta (ID). BPS.</w:t>
      </w:r>
    </w:p>
    <w:p w:rsidR="009805C4" w:rsidRPr="009805C4"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H. Preston, Samuel, et. all. 2004. Demography: Measuring and Modelling Population Processes. USA: Blackwell.</w:t>
      </w:r>
    </w:p>
    <w:p w:rsidR="009805C4" w:rsidRPr="009805C4"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Kasnodihardjo. 1997. Gambaran Perilaku Penduduk Mengenai Kesehatan Lingkungan di Daerah Pedesaan Subang Jawa Barat. Pusat Penelitian Ekologi Kesehatan, Badan Penelitian dan Pengembangan Kesehatan Departemen Kesehatan RI, Jakarta. Cermin Dunia Kedokteran No. 119, 1997.</w:t>
      </w:r>
    </w:p>
    <w:p w:rsidR="009805C4" w:rsidRPr="009805C4"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Pemerintah RI. (2020). PERATURAN PRESIDEN REPUBLIK INDONESIA TENTANG RENCANA PEMBANGUNAN JANGKA MENENGAH NASIONAL 2020-2024. Pemerintah RI.</w:t>
      </w:r>
    </w:p>
    <w:p w:rsidR="009805C4" w:rsidRPr="009805C4"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 xml:space="preserve">Satuan Tugas Penanganan COVID-19. (2021, April 11). KPCPEN. Retrieved from https:// covid19.go.id/peta-risiko. </w:t>
      </w:r>
    </w:p>
    <w:p w:rsidR="009805C4" w:rsidRPr="009805C4"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 xml:space="preserve">Todaro,Michel P. dan Stepen C. Smith, </w:t>
      </w:r>
      <w:r w:rsidR="006F76DB">
        <w:rPr>
          <w:rFonts w:ascii="Times New Roman" w:hAnsi="Times New Roman" w:cs="Times New Roman"/>
          <w:sz w:val="24"/>
          <w:szCs w:val="24"/>
        </w:rPr>
        <w:t xml:space="preserve">2003. </w:t>
      </w:r>
      <w:r w:rsidRPr="009805C4">
        <w:rPr>
          <w:rFonts w:ascii="Times New Roman" w:hAnsi="Times New Roman" w:cs="Times New Roman"/>
          <w:sz w:val="24"/>
          <w:szCs w:val="24"/>
        </w:rPr>
        <w:t>Economic Development/Eighth Edition, Newyork: Pearson.</w:t>
      </w:r>
    </w:p>
    <w:p w:rsidR="009805C4" w:rsidRPr="009805C4"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United Nations Development Programme. (1990). Human Development Report 1990. New York: UNDP.</w:t>
      </w:r>
    </w:p>
    <w:p w:rsidR="00954965" w:rsidRDefault="009805C4" w:rsidP="00330020">
      <w:pPr>
        <w:pStyle w:val="NoSpacing"/>
        <w:spacing w:line="360" w:lineRule="auto"/>
        <w:ind w:left="426"/>
        <w:jc w:val="both"/>
        <w:rPr>
          <w:rFonts w:ascii="Times New Roman" w:hAnsi="Times New Roman" w:cs="Times New Roman"/>
          <w:sz w:val="24"/>
          <w:szCs w:val="24"/>
        </w:rPr>
      </w:pPr>
      <w:r w:rsidRPr="009805C4">
        <w:rPr>
          <w:rFonts w:ascii="Times New Roman" w:hAnsi="Times New Roman" w:cs="Times New Roman"/>
          <w:sz w:val="24"/>
          <w:szCs w:val="24"/>
        </w:rPr>
        <w:t>_______. (2020). HUMAN DEVELOPMENT PERSPECTIVES. COVID-19 AND HUMAN DEVELOPMENT: Assessing the Crisis, Envisioning the Recovery</w:t>
      </w:r>
    </w:p>
    <w:p w:rsidR="004223DB" w:rsidRDefault="004223DB" w:rsidP="00330020">
      <w:pPr>
        <w:pStyle w:val="NoSpacing"/>
        <w:spacing w:line="360" w:lineRule="auto"/>
        <w:ind w:left="426"/>
        <w:jc w:val="both"/>
        <w:rPr>
          <w:rFonts w:ascii="Times New Roman" w:hAnsi="Times New Roman" w:cs="Times New Roman"/>
          <w:sz w:val="24"/>
          <w:szCs w:val="24"/>
        </w:rPr>
      </w:pPr>
    </w:p>
    <w:p w:rsidR="008164DC" w:rsidRDefault="008164DC" w:rsidP="00330020">
      <w:pPr>
        <w:pStyle w:val="NoSpacing"/>
        <w:spacing w:line="360" w:lineRule="auto"/>
        <w:ind w:left="426"/>
        <w:jc w:val="both"/>
        <w:rPr>
          <w:rFonts w:ascii="Times New Roman" w:hAnsi="Times New Roman" w:cs="Times New Roman"/>
          <w:sz w:val="24"/>
          <w:szCs w:val="24"/>
        </w:rPr>
      </w:pPr>
    </w:p>
    <w:p w:rsidR="00954965" w:rsidRDefault="00954965" w:rsidP="00330020">
      <w:pPr>
        <w:pStyle w:val="NoSpacing"/>
        <w:spacing w:line="360" w:lineRule="auto"/>
        <w:ind w:left="426"/>
        <w:jc w:val="both"/>
        <w:rPr>
          <w:rFonts w:ascii="Times New Roman" w:hAnsi="Times New Roman" w:cs="Times New Roman"/>
          <w:sz w:val="24"/>
          <w:szCs w:val="24"/>
        </w:rPr>
      </w:pPr>
    </w:p>
    <w:p w:rsidR="004A6920" w:rsidRPr="004A6920" w:rsidRDefault="004A6920" w:rsidP="00330020">
      <w:pPr>
        <w:pStyle w:val="NoSpacing"/>
        <w:spacing w:line="360" w:lineRule="auto"/>
        <w:ind w:left="426"/>
        <w:jc w:val="both"/>
        <w:rPr>
          <w:rFonts w:ascii="Times New Roman" w:hAnsi="Times New Roman" w:cs="Times New Roman"/>
          <w:sz w:val="24"/>
          <w:szCs w:val="24"/>
        </w:rPr>
      </w:pPr>
    </w:p>
    <w:p w:rsidR="004A6920" w:rsidRDefault="004A6920" w:rsidP="00330020">
      <w:pPr>
        <w:pStyle w:val="NoSpacing"/>
        <w:spacing w:line="360" w:lineRule="auto"/>
        <w:jc w:val="both"/>
        <w:rPr>
          <w:rFonts w:ascii="Times New Roman" w:hAnsi="Times New Roman" w:cs="Times New Roman"/>
          <w:sz w:val="24"/>
          <w:szCs w:val="24"/>
        </w:rPr>
      </w:pPr>
    </w:p>
    <w:p w:rsidR="004A6920" w:rsidRPr="004A6920" w:rsidRDefault="004A6920" w:rsidP="00330020">
      <w:pPr>
        <w:pStyle w:val="NoSpacing"/>
        <w:spacing w:line="360" w:lineRule="auto"/>
        <w:jc w:val="both"/>
        <w:rPr>
          <w:rFonts w:ascii="Times New Roman" w:hAnsi="Times New Roman" w:cs="Times New Roman"/>
          <w:sz w:val="24"/>
          <w:szCs w:val="24"/>
        </w:rPr>
      </w:pPr>
    </w:p>
    <w:sectPr w:rsidR="004A6920" w:rsidRPr="004A6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E13A1"/>
    <w:multiLevelType w:val="hybridMultilevel"/>
    <w:tmpl w:val="B9987D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AF"/>
    <w:rsid w:val="000128BC"/>
    <w:rsid w:val="00085D14"/>
    <w:rsid w:val="00100FE4"/>
    <w:rsid w:val="001018DF"/>
    <w:rsid w:val="001056F9"/>
    <w:rsid w:val="00186519"/>
    <w:rsid w:val="002C578F"/>
    <w:rsid w:val="002D13FA"/>
    <w:rsid w:val="002E346C"/>
    <w:rsid w:val="002F2774"/>
    <w:rsid w:val="00330020"/>
    <w:rsid w:val="004223DB"/>
    <w:rsid w:val="004A6920"/>
    <w:rsid w:val="00570C63"/>
    <w:rsid w:val="00580E75"/>
    <w:rsid w:val="005E6B69"/>
    <w:rsid w:val="00633F13"/>
    <w:rsid w:val="006D2F2F"/>
    <w:rsid w:val="006F76DB"/>
    <w:rsid w:val="007025F5"/>
    <w:rsid w:val="007A39CD"/>
    <w:rsid w:val="007E62D6"/>
    <w:rsid w:val="007F5E31"/>
    <w:rsid w:val="008164DC"/>
    <w:rsid w:val="0082127C"/>
    <w:rsid w:val="00863AB2"/>
    <w:rsid w:val="00873013"/>
    <w:rsid w:val="00952E46"/>
    <w:rsid w:val="00954965"/>
    <w:rsid w:val="009805C4"/>
    <w:rsid w:val="00AC033D"/>
    <w:rsid w:val="00B12556"/>
    <w:rsid w:val="00B465D6"/>
    <w:rsid w:val="00BB1308"/>
    <w:rsid w:val="00BE2C9E"/>
    <w:rsid w:val="00C75733"/>
    <w:rsid w:val="00C767C3"/>
    <w:rsid w:val="00C862CB"/>
    <w:rsid w:val="00D00C3A"/>
    <w:rsid w:val="00D23825"/>
    <w:rsid w:val="00D65C37"/>
    <w:rsid w:val="00D672AF"/>
    <w:rsid w:val="00DF013D"/>
    <w:rsid w:val="00E461FE"/>
    <w:rsid w:val="00F21D63"/>
    <w:rsid w:val="00FA0847"/>
    <w:rsid w:val="00FE79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2AF"/>
    <w:pPr>
      <w:spacing w:after="0" w:line="240" w:lineRule="auto"/>
    </w:pPr>
  </w:style>
  <w:style w:type="paragraph" w:styleId="HTMLPreformatted">
    <w:name w:val="HTML Preformatted"/>
    <w:basedOn w:val="Normal"/>
    <w:link w:val="HTMLPreformattedChar"/>
    <w:uiPriority w:val="99"/>
    <w:semiHidden/>
    <w:unhideWhenUsed/>
    <w:rsid w:val="00BE2C9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E2C9E"/>
    <w:rPr>
      <w:rFonts w:ascii="Consolas" w:hAnsi="Consolas" w:cs="Consolas"/>
      <w:sz w:val="20"/>
      <w:szCs w:val="20"/>
    </w:rPr>
  </w:style>
  <w:style w:type="paragraph" w:styleId="BalloonText">
    <w:name w:val="Balloon Text"/>
    <w:basedOn w:val="Normal"/>
    <w:link w:val="BalloonTextChar"/>
    <w:uiPriority w:val="99"/>
    <w:semiHidden/>
    <w:unhideWhenUsed/>
    <w:rsid w:val="00D2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825"/>
    <w:rPr>
      <w:rFonts w:ascii="Tahoma" w:hAnsi="Tahoma" w:cs="Tahoma"/>
      <w:sz w:val="16"/>
      <w:szCs w:val="16"/>
    </w:rPr>
  </w:style>
  <w:style w:type="table" w:customStyle="1" w:styleId="PlainTable21">
    <w:name w:val="Plain Table 21"/>
    <w:basedOn w:val="TableNormal"/>
    <w:uiPriority w:val="42"/>
    <w:rsid w:val="00FE7919"/>
    <w:pPr>
      <w:spacing w:after="0" w:line="240" w:lineRule="auto"/>
    </w:pPr>
    <w:rPr>
      <w:lang w:val="en-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2AF"/>
    <w:pPr>
      <w:spacing w:after="0" w:line="240" w:lineRule="auto"/>
    </w:pPr>
  </w:style>
  <w:style w:type="paragraph" w:styleId="HTMLPreformatted">
    <w:name w:val="HTML Preformatted"/>
    <w:basedOn w:val="Normal"/>
    <w:link w:val="HTMLPreformattedChar"/>
    <w:uiPriority w:val="99"/>
    <w:semiHidden/>
    <w:unhideWhenUsed/>
    <w:rsid w:val="00BE2C9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E2C9E"/>
    <w:rPr>
      <w:rFonts w:ascii="Consolas" w:hAnsi="Consolas" w:cs="Consolas"/>
      <w:sz w:val="20"/>
      <w:szCs w:val="20"/>
    </w:rPr>
  </w:style>
  <w:style w:type="paragraph" w:styleId="BalloonText">
    <w:name w:val="Balloon Text"/>
    <w:basedOn w:val="Normal"/>
    <w:link w:val="BalloonTextChar"/>
    <w:uiPriority w:val="99"/>
    <w:semiHidden/>
    <w:unhideWhenUsed/>
    <w:rsid w:val="00D2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825"/>
    <w:rPr>
      <w:rFonts w:ascii="Tahoma" w:hAnsi="Tahoma" w:cs="Tahoma"/>
      <w:sz w:val="16"/>
      <w:szCs w:val="16"/>
    </w:rPr>
  </w:style>
  <w:style w:type="table" w:customStyle="1" w:styleId="PlainTable21">
    <w:name w:val="Plain Table 21"/>
    <w:basedOn w:val="TableNormal"/>
    <w:uiPriority w:val="42"/>
    <w:rsid w:val="00FE7919"/>
    <w:pPr>
      <w:spacing w:after="0" w:line="240" w:lineRule="auto"/>
    </w:pPr>
    <w:rPr>
      <w:lang w:val="en-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1949">
      <w:bodyDiv w:val="1"/>
      <w:marLeft w:val="0"/>
      <w:marRight w:val="0"/>
      <w:marTop w:val="0"/>
      <w:marBottom w:val="0"/>
      <w:divBdr>
        <w:top w:val="none" w:sz="0" w:space="0" w:color="auto"/>
        <w:left w:val="none" w:sz="0" w:space="0" w:color="auto"/>
        <w:bottom w:val="none" w:sz="0" w:space="0" w:color="auto"/>
        <w:right w:val="none" w:sz="0" w:space="0" w:color="auto"/>
      </w:divBdr>
    </w:div>
    <w:div w:id="40062760">
      <w:bodyDiv w:val="1"/>
      <w:marLeft w:val="0"/>
      <w:marRight w:val="0"/>
      <w:marTop w:val="0"/>
      <w:marBottom w:val="0"/>
      <w:divBdr>
        <w:top w:val="none" w:sz="0" w:space="0" w:color="auto"/>
        <w:left w:val="none" w:sz="0" w:space="0" w:color="auto"/>
        <w:bottom w:val="none" w:sz="0" w:space="0" w:color="auto"/>
        <w:right w:val="none" w:sz="0" w:space="0" w:color="auto"/>
      </w:divBdr>
    </w:div>
    <w:div w:id="68121489">
      <w:bodyDiv w:val="1"/>
      <w:marLeft w:val="0"/>
      <w:marRight w:val="0"/>
      <w:marTop w:val="0"/>
      <w:marBottom w:val="0"/>
      <w:divBdr>
        <w:top w:val="none" w:sz="0" w:space="0" w:color="auto"/>
        <w:left w:val="none" w:sz="0" w:space="0" w:color="auto"/>
        <w:bottom w:val="none" w:sz="0" w:space="0" w:color="auto"/>
        <w:right w:val="none" w:sz="0" w:space="0" w:color="auto"/>
      </w:divBdr>
    </w:div>
    <w:div w:id="72312717">
      <w:bodyDiv w:val="1"/>
      <w:marLeft w:val="0"/>
      <w:marRight w:val="0"/>
      <w:marTop w:val="0"/>
      <w:marBottom w:val="0"/>
      <w:divBdr>
        <w:top w:val="none" w:sz="0" w:space="0" w:color="auto"/>
        <w:left w:val="none" w:sz="0" w:space="0" w:color="auto"/>
        <w:bottom w:val="none" w:sz="0" w:space="0" w:color="auto"/>
        <w:right w:val="none" w:sz="0" w:space="0" w:color="auto"/>
      </w:divBdr>
    </w:div>
    <w:div w:id="173499926">
      <w:bodyDiv w:val="1"/>
      <w:marLeft w:val="0"/>
      <w:marRight w:val="0"/>
      <w:marTop w:val="0"/>
      <w:marBottom w:val="0"/>
      <w:divBdr>
        <w:top w:val="none" w:sz="0" w:space="0" w:color="auto"/>
        <w:left w:val="none" w:sz="0" w:space="0" w:color="auto"/>
        <w:bottom w:val="none" w:sz="0" w:space="0" w:color="auto"/>
        <w:right w:val="none" w:sz="0" w:space="0" w:color="auto"/>
      </w:divBdr>
    </w:div>
    <w:div w:id="176702147">
      <w:bodyDiv w:val="1"/>
      <w:marLeft w:val="0"/>
      <w:marRight w:val="0"/>
      <w:marTop w:val="0"/>
      <w:marBottom w:val="0"/>
      <w:divBdr>
        <w:top w:val="none" w:sz="0" w:space="0" w:color="auto"/>
        <w:left w:val="none" w:sz="0" w:space="0" w:color="auto"/>
        <w:bottom w:val="none" w:sz="0" w:space="0" w:color="auto"/>
        <w:right w:val="none" w:sz="0" w:space="0" w:color="auto"/>
      </w:divBdr>
    </w:div>
    <w:div w:id="193810545">
      <w:bodyDiv w:val="1"/>
      <w:marLeft w:val="0"/>
      <w:marRight w:val="0"/>
      <w:marTop w:val="0"/>
      <w:marBottom w:val="0"/>
      <w:divBdr>
        <w:top w:val="none" w:sz="0" w:space="0" w:color="auto"/>
        <w:left w:val="none" w:sz="0" w:space="0" w:color="auto"/>
        <w:bottom w:val="none" w:sz="0" w:space="0" w:color="auto"/>
        <w:right w:val="none" w:sz="0" w:space="0" w:color="auto"/>
      </w:divBdr>
    </w:div>
    <w:div w:id="271010492">
      <w:bodyDiv w:val="1"/>
      <w:marLeft w:val="0"/>
      <w:marRight w:val="0"/>
      <w:marTop w:val="0"/>
      <w:marBottom w:val="0"/>
      <w:divBdr>
        <w:top w:val="none" w:sz="0" w:space="0" w:color="auto"/>
        <w:left w:val="none" w:sz="0" w:space="0" w:color="auto"/>
        <w:bottom w:val="none" w:sz="0" w:space="0" w:color="auto"/>
        <w:right w:val="none" w:sz="0" w:space="0" w:color="auto"/>
      </w:divBdr>
    </w:div>
    <w:div w:id="291787128">
      <w:bodyDiv w:val="1"/>
      <w:marLeft w:val="0"/>
      <w:marRight w:val="0"/>
      <w:marTop w:val="0"/>
      <w:marBottom w:val="0"/>
      <w:divBdr>
        <w:top w:val="none" w:sz="0" w:space="0" w:color="auto"/>
        <w:left w:val="none" w:sz="0" w:space="0" w:color="auto"/>
        <w:bottom w:val="none" w:sz="0" w:space="0" w:color="auto"/>
        <w:right w:val="none" w:sz="0" w:space="0" w:color="auto"/>
      </w:divBdr>
    </w:div>
    <w:div w:id="308945219">
      <w:bodyDiv w:val="1"/>
      <w:marLeft w:val="0"/>
      <w:marRight w:val="0"/>
      <w:marTop w:val="0"/>
      <w:marBottom w:val="0"/>
      <w:divBdr>
        <w:top w:val="none" w:sz="0" w:space="0" w:color="auto"/>
        <w:left w:val="none" w:sz="0" w:space="0" w:color="auto"/>
        <w:bottom w:val="none" w:sz="0" w:space="0" w:color="auto"/>
        <w:right w:val="none" w:sz="0" w:space="0" w:color="auto"/>
      </w:divBdr>
    </w:div>
    <w:div w:id="451751738">
      <w:bodyDiv w:val="1"/>
      <w:marLeft w:val="0"/>
      <w:marRight w:val="0"/>
      <w:marTop w:val="0"/>
      <w:marBottom w:val="0"/>
      <w:divBdr>
        <w:top w:val="none" w:sz="0" w:space="0" w:color="auto"/>
        <w:left w:val="none" w:sz="0" w:space="0" w:color="auto"/>
        <w:bottom w:val="none" w:sz="0" w:space="0" w:color="auto"/>
        <w:right w:val="none" w:sz="0" w:space="0" w:color="auto"/>
      </w:divBdr>
    </w:div>
    <w:div w:id="455026535">
      <w:bodyDiv w:val="1"/>
      <w:marLeft w:val="0"/>
      <w:marRight w:val="0"/>
      <w:marTop w:val="0"/>
      <w:marBottom w:val="0"/>
      <w:divBdr>
        <w:top w:val="none" w:sz="0" w:space="0" w:color="auto"/>
        <w:left w:val="none" w:sz="0" w:space="0" w:color="auto"/>
        <w:bottom w:val="none" w:sz="0" w:space="0" w:color="auto"/>
        <w:right w:val="none" w:sz="0" w:space="0" w:color="auto"/>
      </w:divBdr>
    </w:div>
    <w:div w:id="463698228">
      <w:bodyDiv w:val="1"/>
      <w:marLeft w:val="0"/>
      <w:marRight w:val="0"/>
      <w:marTop w:val="0"/>
      <w:marBottom w:val="0"/>
      <w:divBdr>
        <w:top w:val="none" w:sz="0" w:space="0" w:color="auto"/>
        <w:left w:val="none" w:sz="0" w:space="0" w:color="auto"/>
        <w:bottom w:val="none" w:sz="0" w:space="0" w:color="auto"/>
        <w:right w:val="none" w:sz="0" w:space="0" w:color="auto"/>
      </w:divBdr>
    </w:div>
    <w:div w:id="507913342">
      <w:bodyDiv w:val="1"/>
      <w:marLeft w:val="0"/>
      <w:marRight w:val="0"/>
      <w:marTop w:val="0"/>
      <w:marBottom w:val="0"/>
      <w:divBdr>
        <w:top w:val="none" w:sz="0" w:space="0" w:color="auto"/>
        <w:left w:val="none" w:sz="0" w:space="0" w:color="auto"/>
        <w:bottom w:val="none" w:sz="0" w:space="0" w:color="auto"/>
        <w:right w:val="none" w:sz="0" w:space="0" w:color="auto"/>
      </w:divBdr>
    </w:div>
    <w:div w:id="637615957">
      <w:bodyDiv w:val="1"/>
      <w:marLeft w:val="0"/>
      <w:marRight w:val="0"/>
      <w:marTop w:val="0"/>
      <w:marBottom w:val="0"/>
      <w:divBdr>
        <w:top w:val="none" w:sz="0" w:space="0" w:color="auto"/>
        <w:left w:val="none" w:sz="0" w:space="0" w:color="auto"/>
        <w:bottom w:val="none" w:sz="0" w:space="0" w:color="auto"/>
        <w:right w:val="none" w:sz="0" w:space="0" w:color="auto"/>
      </w:divBdr>
    </w:div>
    <w:div w:id="639500512">
      <w:bodyDiv w:val="1"/>
      <w:marLeft w:val="0"/>
      <w:marRight w:val="0"/>
      <w:marTop w:val="0"/>
      <w:marBottom w:val="0"/>
      <w:divBdr>
        <w:top w:val="none" w:sz="0" w:space="0" w:color="auto"/>
        <w:left w:val="none" w:sz="0" w:space="0" w:color="auto"/>
        <w:bottom w:val="none" w:sz="0" w:space="0" w:color="auto"/>
        <w:right w:val="none" w:sz="0" w:space="0" w:color="auto"/>
      </w:divBdr>
    </w:div>
    <w:div w:id="683167969">
      <w:bodyDiv w:val="1"/>
      <w:marLeft w:val="0"/>
      <w:marRight w:val="0"/>
      <w:marTop w:val="0"/>
      <w:marBottom w:val="0"/>
      <w:divBdr>
        <w:top w:val="none" w:sz="0" w:space="0" w:color="auto"/>
        <w:left w:val="none" w:sz="0" w:space="0" w:color="auto"/>
        <w:bottom w:val="none" w:sz="0" w:space="0" w:color="auto"/>
        <w:right w:val="none" w:sz="0" w:space="0" w:color="auto"/>
      </w:divBdr>
    </w:div>
    <w:div w:id="743143562">
      <w:bodyDiv w:val="1"/>
      <w:marLeft w:val="0"/>
      <w:marRight w:val="0"/>
      <w:marTop w:val="0"/>
      <w:marBottom w:val="0"/>
      <w:divBdr>
        <w:top w:val="none" w:sz="0" w:space="0" w:color="auto"/>
        <w:left w:val="none" w:sz="0" w:space="0" w:color="auto"/>
        <w:bottom w:val="none" w:sz="0" w:space="0" w:color="auto"/>
        <w:right w:val="none" w:sz="0" w:space="0" w:color="auto"/>
      </w:divBdr>
    </w:div>
    <w:div w:id="748385263">
      <w:bodyDiv w:val="1"/>
      <w:marLeft w:val="0"/>
      <w:marRight w:val="0"/>
      <w:marTop w:val="0"/>
      <w:marBottom w:val="0"/>
      <w:divBdr>
        <w:top w:val="none" w:sz="0" w:space="0" w:color="auto"/>
        <w:left w:val="none" w:sz="0" w:space="0" w:color="auto"/>
        <w:bottom w:val="none" w:sz="0" w:space="0" w:color="auto"/>
        <w:right w:val="none" w:sz="0" w:space="0" w:color="auto"/>
      </w:divBdr>
    </w:div>
    <w:div w:id="786462303">
      <w:bodyDiv w:val="1"/>
      <w:marLeft w:val="0"/>
      <w:marRight w:val="0"/>
      <w:marTop w:val="0"/>
      <w:marBottom w:val="0"/>
      <w:divBdr>
        <w:top w:val="none" w:sz="0" w:space="0" w:color="auto"/>
        <w:left w:val="none" w:sz="0" w:space="0" w:color="auto"/>
        <w:bottom w:val="none" w:sz="0" w:space="0" w:color="auto"/>
        <w:right w:val="none" w:sz="0" w:space="0" w:color="auto"/>
      </w:divBdr>
    </w:div>
    <w:div w:id="794641060">
      <w:bodyDiv w:val="1"/>
      <w:marLeft w:val="0"/>
      <w:marRight w:val="0"/>
      <w:marTop w:val="0"/>
      <w:marBottom w:val="0"/>
      <w:divBdr>
        <w:top w:val="none" w:sz="0" w:space="0" w:color="auto"/>
        <w:left w:val="none" w:sz="0" w:space="0" w:color="auto"/>
        <w:bottom w:val="none" w:sz="0" w:space="0" w:color="auto"/>
        <w:right w:val="none" w:sz="0" w:space="0" w:color="auto"/>
      </w:divBdr>
    </w:div>
    <w:div w:id="855581006">
      <w:bodyDiv w:val="1"/>
      <w:marLeft w:val="0"/>
      <w:marRight w:val="0"/>
      <w:marTop w:val="0"/>
      <w:marBottom w:val="0"/>
      <w:divBdr>
        <w:top w:val="none" w:sz="0" w:space="0" w:color="auto"/>
        <w:left w:val="none" w:sz="0" w:space="0" w:color="auto"/>
        <w:bottom w:val="none" w:sz="0" w:space="0" w:color="auto"/>
        <w:right w:val="none" w:sz="0" w:space="0" w:color="auto"/>
      </w:divBdr>
    </w:div>
    <w:div w:id="859440130">
      <w:bodyDiv w:val="1"/>
      <w:marLeft w:val="0"/>
      <w:marRight w:val="0"/>
      <w:marTop w:val="0"/>
      <w:marBottom w:val="0"/>
      <w:divBdr>
        <w:top w:val="none" w:sz="0" w:space="0" w:color="auto"/>
        <w:left w:val="none" w:sz="0" w:space="0" w:color="auto"/>
        <w:bottom w:val="none" w:sz="0" w:space="0" w:color="auto"/>
        <w:right w:val="none" w:sz="0" w:space="0" w:color="auto"/>
      </w:divBdr>
    </w:div>
    <w:div w:id="978191210">
      <w:bodyDiv w:val="1"/>
      <w:marLeft w:val="0"/>
      <w:marRight w:val="0"/>
      <w:marTop w:val="0"/>
      <w:marBottom w:val="0"/>
      <w:divBdr>
        <w:top w:val="none" w:sz="0" w:space="0" w:color="auto"/>
        <w:left w:val="none" w:sz="0" w:space="0" w:color="auto"/>
        <w:bottom w:val="none" w:sz="0" w:space="0" w:color="auto"/>
        <w:right w:val="none" w:sz="0" w:space="0" w:color="auto"/>
      </w:divBdr>
    </w:div>
    <w:div w:id="988633462">
      <w:bodyDiv w:val="1"/>
      <w:marLeft w:val="0"/>
      <w:marRight w:val="0"/>
      <w:marTop w:val="0"/>
      <w:marBottom w:val="0"/>
      <w:divBdr>
        <w:top w:val="none" w:sz="0" w:space="0" w:color="auto"/>
        <w:left w:val="none" w:sz="0" w:space="0" w:color="auto"/>
        <w:bottom w:val="none" w:sz="0" w:space="0" w:color="auto"/>
        <w:right w:val="none" w:sz="0" w:space="0" w:color="auto"/>
      </w:divBdr>
    </w:div>
    <w:div w:id="1010060319">
      <w:bodyDiv w:val="1"/>
      <w:marLeft w:val="0"/>
      <w:marRight w:val="0"/>
      <w:marTop w:val="0"/>
      <w:marBottom w:val="0"/>
      <w:divBdr>
        <w:top w:val="none" w:sz="0" w:space="0" w:color="auto"/>
        <w:left w:val="none" w:sz="0" w:space="0" w:color="auto"/>
        <w:bottom w:val="none" w:sz="0" w:space="0" w:color="auto"/>
        <w:right w:val="none" w:sz="0" w:space="0" w:color="auto"/>
      </w:divBdr>
    </w:div>
    <w:div w:id="1045329741">
      <w:bodyDiv w:val="1"/>
      <w:marLeft w:val="0"/>
      <w:marRight w:val="0"/>
      <w:marTop w:val="0"/>
      <w:marBottom w:val="0"/>
      <w:divBdr>
        <w:top w:val="none" w:sz="0" w:space="0" w:color="auto"/>
        <w:left w:val="none" w:sz="0" w:space="0" w:color="auto"/>
        <w:bottom w:val="none" w:sz="0" w:space="0" w:color="auto"/>
        <w:right w:val="none" w:sz="0" w:space="0" w:color="auto"/>
      </w:divBdr>
    </w:div>
    <w:div w:id="1054965622">
      <w:bodyDiv w:val="1"/>
      <w:marLeft w:val="0"/>
      <w:marRight w:val="0"/>
      <w:marTop w:val="0"/>
      <w:marBottom w:val="0"/>
      <w:divBdr>
        <w:top w:val="none" w:sz="0" w:space="0" w:color="auto"/>
        <w:left w:val="none" w:sz="0" w:space="0" w:color="auto"/>
        <w:bottom w:val="none" w:sz="0" w:space="0" w:color="auto"/>
        <w:right w:val="none" w:sz="0" w:space="0" w:color="auto"/>
      </w:divBdr>
    </w:div>
    <w:div w:id="1066534475">
      <w:bodyDiv w:val="1"/>
      <w:marLeft w:val="0"/>
      <w:marRight w:val="0"/>
      <w:marTop w:val="0"/>
      <w:marBottom w:val="0"/>
      <w:divBdr>
        <w:top w:val="none" w:sz="0" w:space="0" w:color="auto"/>
        <w:left w:val="none" w:sz="0" w:space="0" w:color="auto"/>
        <w:bottom w:val="none" w:sz="0" w:space="0" w:color="auto"/>
        <w:right w:val="none" w:sz="0" w:space="0" w:color="auto"/>
      </w:divBdr>
    </w:div>
    <w:div w:id="1182742689">
      <w:bodyDiv w:val="1"/>
      <w:marLeft w:val="0"/>
      <w:marRight w:val="0"/>
      <w:marTop w:val="0"/>
      <w:marBottom w:val="0"/>
      <w:divBdr>
        <w:top w:val="none" w:sz="0" w:space="0" w:color="auto"/>
        <w:left w:val="none" w:sz="0" w:space="0" w:color="auto"/>
        <w:bottom w:val="none" w:sz="0" w:space="0" w:color="auto"/>
        <w:right w:val="none" w:sz="0" w:space="0" w:color="auto"/>
      </w:divBdr>
    </w:div>
    <w:div w:id="1246112301">
      <w:bodyDiv w:val="1"/>
      <w:marLeft w:val="0"/>
      <w:marRight w:val="0"/>
      <w:marTop w:val="0"/>
      <w:marBottom w:val="0"/>
      <w:divBdr>
        <w:top w:val="none" w:sz="0" w:space="0" w:color="auto"/>
        <w:left w:val="none" w:sz="0" w:space="0" w:color="auto"/>
        <w:bottom w:val="none" w:sz="0" w:space="0" w:color="auto"/>
        <w:right w:val="none" w:sz="0" w:space="0" w:color="auto"/>
      </w:divBdr>
    </w:div>
    <w:div w:id="1421176042">
      <w:bodyDiv w:val="1"/>
      <w:marLeft w:val="0"/>
      <w:marRight w:val="0"/>
      <w:marTop w:val="0"/>
      <w:marBottom w:val="0"/>
      <w:divBdr>
        <w:top w:val="none" w:sz="0" w:space="0" w:color="auto"/>
        <w:left w:val="none" w:sz="0" w:space="0" w:color="auto"/>
        <w:bottom w:val="none" w:sz="0" w:space="0" w:color="auto"/>
        <w:right w:val="none" w:sz="0" w:space="0" w:color="auto"/>
      </w:divBdr>
    </w:div>
    <w:div w:id="1444613423">
      <w:bodyDiv w:val="1"/>
      <w:marLeft w:val="0"/>
      <w:marRight w:val="0"/>
      <w:marTop w:val="0"/>
      <w:marBottom w:val="0"/>
      <w:divBdr>
        <w:top w:val="none" w:sz="0" w:space="0" w:color="auto"/>
        <w:left w:val="none" w:sz="0" w:space="0" w:color="auto"/>
        <w:bottom w:val="none" w:sz="0" w:space="0" w:color="auto"/>
        <w:right w:val="none" w:sz="0" w:space="0" w:color="auto"/>
      </w:divBdr>
    </w:div>
    <w:div w:id="1502425441">
      <w:bodyDiv w:val="1"/>
      <w:marLeft w:val="0"/>
      <w:marRight w:val="0"/>
      <w:marTop w:val="0"/>
      <w:marBottom w:val="0"/>
      <w:divBdr>
        <w:top w:val="none" w:sz="0" w:space="0" w:color="auto"/>
        <w:left w:val="none" w:sz="0" w:space="0" w:color="auto"/>
        <w:bottom w:val="none" w:sz="0" w:space="0" w:color="auto"/>
        <w:right w:val="none" w:sz="0" w:space="0" w:color="auto"/>
      </w:divBdr>
    </w:div>
    <w:div w:id="1778134348">
      <w:bodyDiv w:val="1"/>
      <w:marLeft w:val="0"/>
      <w:marRight w:val="0"/>
      <w:marTop w:val="0"/>
      <w:marBottom w:val="0"/>
      <w:divBdr>
        <w:top w:val="none" w:sz="0" w:space="0" w:color="auto"/>
        <w:left w:val="none" w:sz="0" w:space="0" w:color="auto"/>
        <w:bottom w:val="none" w:sz="0" w:space="0" w:color="auto"/>
        <w:right w:val="none" w:sz="0" w:space="0" w:color="auto"/>
      </w:divBdr>
    </w:div>
    <w:div w:id="1806972109">
      <w:bodyDiv w:val="1"/>
      <w:marLeft w:val="0"/>
      <w:marRight w:val="0"/>
      <w:marTop w:val="0"/>
      <w:marBottom w:val="0"/>
      <w:divBdr>
        <w:top w:val="none" w:sz="0" w:space="0" w:color="auto"/>
        <w:left w:val="none" w:sz="0" w:space="0" w:color="auto"/>
        <w:bottom w:val="none" w:sz="0" w:space="0" w:color="auto"/>
        <w:right w:val="none" w:sz="0" w:space="0" w:color="auto"/>
      </w:divBdr>
    </w:div>
    <w:div w:id="1854954833">
      <w:bodyDiv w:val="1"/>
      <w:marLeft w:val="0"/>
      <w:marRight w:val="0"/>
      <w:marTop w:val="0"/>
      <w:marBottom w:val="0"/>
      <w:divBdr>
        <w:top w:val="none" w:sz="0" w:space="0" w:color="auto"/>
        <w:left w:val="none" w:sz="0" w:space="0" w:color="auto"/>
        <w:bottom w:val="none" w:sz="0" w:space="0" w:color="auto"/>
        <w:right w:val="none" w:sz="0" w:space="0" w:color="auto"/>
      </w:divBdr>
    </w:div>
    <w:div w:id="1863203409">
      <w:bodyDiv w:val="1"/>
      <w:marLeft w:val="0"/>
      <w:marRight w:val="0"/>
      <w:marTop w:val="0"/>
      <w:marBottom w:val="0"/>
      <w:divBdr>
        <w:top w:val="none" w:sz="0" w:space="0" w:color="auto"/>
        <w:left w:val="none" w:sz="0" w:space="0" w:color="auto"/>
        <w:bottom w:val="none" w:sz="0" w:space="0" w:color="auto"/>
        <w:right w:val="none" w:sz="0" w:space="0" w:color="auto"/>
      </w:divBdr>
    </w:div>
    <w:div w:id="1864905510">
      <w:bodyDiv w:val="1"/>
      <w:marLeft w:val="0"/>
      <w:marRight w:val="0"/>
      <w:marTop w:val="0"/>
      <w:marBottom w:val="0"/>
      <w:divBdr>
        <w:top w:val="none" w:sz="0" w:space="0" w:color="auto"/>
        <w:left w:val="none" w:sz="0" w:space="0" w:color="auto"/>
        <w:bottom w:val="none" w:sz="0" w:space="0" w:color="auto"/>
        <w:right w:val="none" w:sz="0" w:space="0" w:color="auto"/>
      </w:divBdr>
    </w:div>
    <w:div w:id="1893299107">
      <w:bodyDiv w:val="1"/>
      <w:marLeft w:val="0"/>
      <w:marRight w:val="0"/>
      <w:marTop w:val="0"/>
      <w:marBottom w:val="0"/>
      <w:divBdr>
        <w:top w:val="none" w:sz="0" w:space="0" w:color="auto"/>
        <w:left w:val="none" w:sz="0" w:space="0" w:color="auto"/>
        <w:bottom w:val="none" w:sz="0" w:space="0" w:color="auto"/>
        <w:right w:val="none" w:sz="0" w:space="0" w:color="auto"/>
      </w:divBdr>
    </w:div>
    <w:div w:id="1895505132">
      <w:bodyDiv w:val="1"/>
      <w:marLeft w:val="0"/>
      <w:marRight w:val="0"/>
      <w:marTop w:val="0"/>
      <w:marBottom w:val="0"/>
      <w:divBdr>
        <w:top w:val="none" w:sz="0" w:space="0" w:color="auto"/>
        <w:left w:val="none" w:sz="0" w:space="0" w:color="auto"/>
        <w:bottom w:val="none" w:sz="0" w:space="0" w:color="auto"/>
        <w:right w:val="none" w:sz="0" w:space="0" w:color="auto"/>
      </w:divBdr>
    </w:div>
    <w:div w:id="1956600482">
      <w:bodyDiv w:val="1"/>
      <w:marLeft w:val="0"/>
      <w:marRight w:val="0"/>
      <w:marTop w:val="0"/>
      <w:marBottom w:val="0"/>
      <w:divBdr>
        <w:top w:val="none" w:sz="0" w:space="0" w:color="auto"/>
        <w:left w:val="none" w:sz="0" w:space="0" w:color="auto"/>
        <w:bottom w:val="none" w:sz="0" w:space="0" w:color="auto"/>
        <w:right w:val="none" w:sz="0" w:space="0" w:color="auto"/>
      </w:divBdr>
    </w:div>
    <w:div w:id="1991054257">
      <w:bodyDiv w:val="1"/>
      <w:marLeft w:val="0"/>
      <w:marRight w:val="0"/>
      <w:marTop w:val="0"/>
      <w:marBottom w:val="0"/>
      <w:divBdr>
        <w:top w:val="none" w:sz="0" w:space="0" w:color="auto"/>
        <w:left w:val="none" w:sz="0" w:space="0" w:color="auto"/>
        <w:bottom w:val="none" w:sz="0" w:space="0" w:color="auto"/>
        <w:right w:val="none" w:sz="0" w:space="0" w:color="auto"/>
      </w:divBdr>
    </w:div>
    <w:div w:id="2053452922">
      <w:bodyDiv w:val="1"/>
      <w:marLeft w:val="0"/>
      <w:marRight w:val="0"/>
      <w:marTop w:val="0"/>
      <w:marBottom w:val="0"/>
      <w:divBdr>
        <w:top w:val="none" w:sz="0" w:space="0" w:color="auto"/>
        <w:left w:val="none" w:sz="0" w:space="0" w:color="auto"/>
        <w:bottom w:val="none" w:sz="0" w:space="0" w:color="auto"/>
        <w:right w:val="none" w:sz="0" w:space="0" w:color="auto"/>
      </w:divBdr>
    </w:div>
    <w:div w:id="2083914365">
      <w:bodyDiv w:val="1"/>
      <w:marLeft w:val="0"/>
      <w:marRight w:val="0"/>
      <w:marTop w:val="0"/>
      <w:marBottom w:val="0"/>
      <w:divBdr>
        <w:top w:val="none" w:sz="0" w:space="0" w:color="auto"/>
        <w:left w:val="none" w:sz="0" w:space="0" w:color="auto"/>
        <w:bottom w:val="none" w:sz="0" w:space="0" w:color="auto"/>
        <w:right w:val="none" w:sz="0" w:space="0" w:color="auto"/>
      </w:divBdr>
    </w:div>
    <w:div w:id="21205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Sheet1!$C$3</c:f>
              <c:strCache>
                <c:ptCount val="1"/>
                <c:pt idx="0">
                  <c:v>IPM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Sheet1!$C$4:$C$14</c:f>
              <c:numCache>
                <c:formatCode>0.00</c:formatCode>
                <c:ptCount val="11"/>
                <c:pt idx="0">
                  <c:v>66.53</c:v>
                </c:pt>
                <c:pt idx="1">
                  <c:v>67.09</c:v>
                </c:pt>
                <c:pt idx="2">
                  <c:v>67.7</c:v>
                </c:pt>
                <c:pt idx="3">
                  <c:v>68.31</c:v>
                </c:pt>
                <c:pt idx="4">
                  <c:v>68.900000000000006</c:v>
                </c:pt>
                <c:pt idx="5">
                  <c:v>69.55</c:v>
                </c:pt>
                <c:pt idx="6">
                  <c:v>70.180000000000007</c:v>
                </c:pt>
                <c:pt idx="7">
                  <c:v>70.81</c:v>
                </c:pt>
                <c:pt idx="8">
                  <c:v>71.39</c:v>
                </c:pt>
                <c:pt idx="9">
                  <c:v>71.92</c:v>
                </c:pt>
                <c:pt idx="10">
                  <c:v>71.94</c:v>
                </c:pt>
              </c:numCache>
            </c:numRef>
          </c:val>
          <c:smooth val="0"/>
          <c:extLst xmlns:c16r2="http://schemas.microsoft.com/office/drawing/2015/06/chart">
            <c:ext xmlns:c16="http://schemas.microsoft.com/office/drawing/2014/chart" uri="{C3380CC4-5D6E-409C-BE32-E72D297353CC}">
              <c16:uniqueId val="{00000000-55CE-41E5-998D-BC9BF2AC1F7C}"/>
            </c:ext>
          </c:extLst>
        </c:ser>
        <c:ser>
          <c:idx val="1"/>
          <c:order val="1"/>
          <c:tx>
            <c:strRef>
              <c:f>Sheet1!$D$3</c:f>
              <c:strCache>
                <c:ptCount val="1"/>
                <c:pt idx="0">
                  <c:v>HDI Growth (Percent)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Sheet1!$D$4:$D$14</c:f>
              <c:numCache>
                <c:formatCode>0.00</c:formatCode>
                <c:ptCount val="11"/>
                <c:pt idx="0">
                  <c:v>0</c:v>
                </c:pt>
                <c:pt idx="1">
                  <c:v>0.84</c:v>
                </c:pt>
                <c:pt idx="2">
                  <c:v>0.91</c:v>
                </c:pt>
                <c:pt idx="3">
                  <c:v>0.9</c:v>
                </c:pt>
                <c:pt idx="4">
                  <c:v>0.86</c:v>
                </c:pt>
                <c:pt idx="5">
                  <c:v>0.94</c:v>
                </c:pt>
                <c:pt idx="6">
                  <c:v>0.91</c:v>
                </c:pt>
                <c:pt idx="7">
                  <c:v>0.9</c:v>
                </c:pt>
                <c:pt idx="8">
                  <c:v>0.82</c:v>
                </c:pt>
                <c:pt idx="9">
                  <c:v>0.74</c:v>
                </c:pt>
                <c:pt idx="10">
                  <c:v>0</c:v>
                </c:pt>
              </c:numCache>
            </c:numRef>
          </c:val>
          <c:smooth val="0"/>
          <c:extLst xmlns:c16r2="http://schemas.microsoft.com/office/drawing/2015/06/chart">
            <c:ext xmlns:c16="http://schemas.microsoft.com/office/drawing/2014/chart" uri="{C3380CC4-5D6E-409C-BE32-E72D297353CC}">
              <c16:uniqueId val="{00000001-55CE-41E5-998D-BC9BF2AC1F7C}"/>
            </c:ext>
          </c:extLst>
        </c:ser>
        <c:dLbls>
          <c:showLegendKey val="0"/>
          <c:showVal val="0"/>
          <c:showCatName val="0"/>
          <c:showSerName val="0"/>
          <c:showPercent val="0"/>
          <c:showBubbleSize val="0"/>
        </c:dLbls>
        <c:marker val="1"/>
        <c:smooth val="0"/>
        <c:axId val="162452224"/>
        <c:axId val="162453376"/>
      </c:lineChart>
      <c:catAx>
        <c:axId val="16245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162453376"/>
        <c:crosses val="autoZero"/>
        <c:auto val="1"/>
        <c:lblAlgn val="ctr"/>
        <c:lblOffset val="100"/>
        <c:noMultiLvlLbl val="0"/>
      </c:catAx>
      <c:valAx>
        <c:axId val="162453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16245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Sheet2!$C$3</c:f>
              <c:strCache>
                <c:ptCount val="1"/>
                <c:pt idx="0">
                  <c:v>UHH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Sheet2!$C$4:$C$14</c:f>
              <c:numCache>
                <c:formatCode>0.00</c:formatCode>
                <c:ptCount val="11"/>
                <c:pt idx="0">
                  <c:v>69.81</c:v>
                </c:pt>
                <c:pt idx="1">
                  <c:v>70.010000000000005</c:v>
                </c:pt>
                <c:pt idx="2">
                  <c:v>70.2</c:v>
                </c:pt>
                <c:pt idx="3">
                  <c:v>70.400000000000006</c:v>
                </c:pt>
                <c:pt idx="4">
                  <c:v>70.59</c:v>
                </c:pt>
                <c:pt idx="5">
                  <c:v>70.78</c:v>
                </c:pt>
                <c:pt idx="6">
                  <c:v>70.900000000000006</c:v>
                </c:pt>
                <c:pt idx="7">
                  <c:v>71.06</c:v>
                </c:pt>
                <c:pt idx="8">
                  <c:v>71.2</c:v>
                </c:pt>
                <c:pt idx="9">
                  <c:v>71.34</c:v>
                </c:pt>
                <c:pt idx="10">
                  <c:v>71.47</c:v>
                </c:pt>
              </c:numCache>
            </c:numRef>
          </c:val>
          <c:smooth val="0"/>
          <c:extLst xmlns:c16r2="http://schemas.microsoft.com/office/drawing/2015/06/chart">
            <c:ext xmlns:c16="http://schemas.microsoft.com/office/drawing/2014/chart" uri="{C3380CC4-5D6E-409C-BE32-E72D297353CC}">
              <c16:uniqueId val="{00000000-EB0C-4C8D-BE1F-5FCA48EA1284}"/>
            </c:ext>
          </c:extLst>
        </c:ser>
        <c:ser>
          <c:idx val="1"/>
          <c:order val="1"/>
          <c:tx>
            <c:strRef>
              <c:f>Sheet2!$D$3</c:f>
              <c:strCache>
                <c:ptCount val="1"/>
                <c:pt idx="0">
                  <c:v>UHH Growth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Sheet2!$D$4:$D$14</c:f>
              <c:numCache>
                <c:formatCode>0.00</c:formatCode>
                <c:ptCount val="11"/>
                <c:pt idx="0">
                  <c:v>0</c:v>
                </c:pt>
                <c:pt idx="1">
                  <c:v>0.28999999999999998</c:v>
                </c:pt>
                <c:pt idx="2">
                  <c:v>0.27</c:v>
                </c:pt>
                <c:pt idx="3">
                  <c:v>0.28000000000000003</c:v>
                </c:pt>
                <c:pt idx="4">
                  <c:v>0.27</c:v>
                </c:pt>
                <c:pt idx="5">
                  <c:v>0.27</c:v>
                </c:pt>
                <c:pt idx="6">
                  <c:v>0.17</c:v>
                </c:pt>
                <c:pt idx="7">
                  <c:v>0.23</c:v>
                </c:pt>
                <c:pt idx="8">
                  <c:v>0.2</c:v>
                </c:pt>
                <c:pt idx="9">
                  <c:v>0.2</c:v>
                </c:pt>
                <c:pt idx="10">
                  <c:v>0.18</c:v>
                </c:pt>
              </c:numCache>
            </c:numRef>
          </c:val>
          <c:smooth val="0"/>
          <c:extLst xmlns:c16r2="http://schemas.microsoft.com/office/drawing/2015/06/chart">
            <c:ext xmlns:c16="http://schemas.microsoft.com/office/drawing/2014/chart" uri="{C3380CC4-5D6E-409C-BE32-E72D297353CC}">
              <c16:uniqueId val="{00000001-EB0C-4C8D-BE1F-5FCA48EA1284}"/>
            </c:ext>
          </c:extLst>
        </c:ser>
        <c:dLbls>
          <c:showLegendKey val="0"/>
          <c:showVal val="0"/>
          <c:showCatName val="0"/>
          <c:showSerName val="0"/>
          <c:showPercent val="0"/>
          <c:showBubbleSize val="0"/>
        </c:dLbls>
        <c:marker val="1"/>
        <c:smooth val="0"/>
        <c:axId val="308155136"/>
        <c:axId val="308156672"/>
      </c:lineChart>
      <c:catAx>
        <c:axId val="30815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08156672"/>
        <c:crosses val="autoZero"/>
        <c:auto val="1"/>
        <c:lblAlgn val="ctr"/>
        <c:lblOffset val="100"/>
        <c:noMultiLvlLbl val="0"/>
      </c:catAx>
      <c:valAx>
        <c:axId val="308156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0815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Sheet3!$C$3</c:f>
              <c:strCache>
                <c:ptCount val="1"/>
                <c:pt idx="0">
                  <c:v>HLS (year)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Sheet3!$C$4:$C$14</c:f>
              <c:numCache>
                <c:formatCode>0.00</c:formatCode>
                <c:ptCount val="11"/>
                <c:pt idx="0">
                  <c:v>11.29</c:v>
                </c:pt>
                <c:pt idx="1">
                  <c:v>11.44</c:v>
                </c:pt>
                <c:pt idx="2">
                  <c:v>11.68</c:v>
                </c:pt>
                <c:pt idx="3">
                  <c:v>12.1</c:v>
                </c:pt>
                <c:pt idx="4">
                  <c:v>12.39</c:v>
                </c:pt>
                <c:pt idx="5">
                  <c:v>12.55</c:v>
                </c:pt>
                <c:pt idx="6">
                  <c:v>12.72</c:v>
                </c:pt>
                <c:pt idx="7">
                  <c:v>12.85</c:v>
                </c:pt>
                <c:pt idx="8">
                  <c:v>12.91</c:v>
                </c:pt>
                <c:pt idx="9">
                  <c:v>12.95</c:v>
                </c:pt>
                <c:pt idx="10">
                  <c:v>12.98</c:v>
                </c:pt>
              </c:numCache>
            </c:numRef>
          </c:val>
          <c:smooth val="0"/>
          <c:extLst xmlns:c16r2="http://schemas.microsoft.com/office/drawing/2015/06/chart">
            <c:ext xmlns:c16="http://schemas.microsoft.com/office/drawing/2014/chart" uri="{C3380CC4-5D6E-409C-BE32-E72D297353CC}">
              <c16:uniqueId val="{00000000-791D-4C28-A10D-4399E0AFBA82}"/>
            </c:ext>
          </c:extLst>
        </c:ser>
        <c:ser>
          <c:idx val="1"/>
          <c:order val="1"/>
          <c:tx>
            <c:strRef>
              <c:f>Sheet3!$D$3</c:f>
              <c:strCache>
                <c:ptCount val="1"/>
                <c:pt idx="0">
                  <c:v>HLS Growth (Percent)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Sheet3!$D$4:$D$14</c:f>
              <c:numCache>
                <c:formatCode>0.00</c:formatCode>
                <c:ptCount val="11"/>
                <c:pt idx="0">
                  <c:v>0</c:v>
                </c:pt>
                <c:pt idx="1">
                  <c:v>1.33</c:v>
                </c:pt>
                <c:pt idx="2">
                  <c:v>2.1</c:v>
                </c:pt>
                <c:pt idx="3">
                  <c:v>3.6</c:v>
                </c:pt>
                <c:pt idx="4">
                  <c:v>2.4</c:v>
                </c:pt>
                <c:pt idx="5">
                  <c:v>1.29</c:v>
                </c:pt>
                <c:pt idx="6">
                  <c:v>1.35</c:v>
                </c:pt>
                <c:pt idx="7">
                  <c:v>1.02</c:v>
                </c:pt>
                <c:pt idx="8">
                  <c:v>0.47</c:v>
                </c:pt>
                <c:pt idx="9">
                  <c:v>0.31</c:v>
                </c:pt>
                <c:pt idx="10">
                  <c:v>0.23</c:v>
                </c:pt>
              </c:numCache>
            </c:numRef>
          </c:val>
          <c:smooth val="0"/>
          <c:extLst xmlns:c16r2="http://schemas.microsoft.com/office/drawing/2015/06/chart">
            <c:ext xmlns:c16="http://schemas.microsoft.com/office/drawing/2014/chart" uri="{C3380CC4-5D6E-409C-BE32-E72D297353CC}">
              <c16:uniqueId val="{00000001-791D-4C28-A10D-4399E0AFBA82}"/>
            </c:ext>
          </c:extLst>
        </c:ser>
        <c:dLbls>
          <c:showLegendKey val="0"/>
          <c:showVal val="0"/>
          <c:showCatName val="0"/>
          <c:showSerName val="0"/>
          <c:showPercent val="0"/>
          <c:showBubbleSize val="0"/>
        </c:dLbls>
        <c:marker val="1"/>
        <c:smooth val="0"/>
        <c:axId val="308200576"/>
        <c:axId val="308202112"/>
      </c:lineChart>
      <c:catAx>
        <c:axId val="30820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08202112"/>
        <c:crosses val="autoZero"/>
        <c:auto val="1"/>
        <c:lblAlgn val="ctr"/>
        <c:lblOffset val="100"/>
        <c:noMultiLvlLbl val="0"/>
      </c:catAx>
      <c:valAx>
        <c:axId val="308202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0820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Sheet4!$C$3</c:f>
              <c:strCache>
                <c:ptCount val="1"/>
                <c:pt idx="0">
                  <c:v>RLS (year)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Sheet4!$C$4:$C$14</c:f>
              <c:numCache>
                <c:formatCode>0.00</c:formatCode>
                <c:ptCount val="11"/>
                <c:pt idx="0">
                  <c:v>7.64</c:v>
                </c:pt>
                <c:pt idx="1">
                  <c:v>7.52</c:v>
                </c:pt>
                <c:pt idx="2">
                  <c:v>7.59</c:v>
                </c:pt>
                <c:pt idx="3">
                  <c:v>7.61</c:v>
                </c:pt>
                <c:pt idx="4">
                  <c:v>7.73</c:v>
                </c:pt>
                <c:pt idx="5">
                  <c:v>7.84</c:v>
                </c:pt>
                <c:pt idx="6">
                  <c:v>7.95</c:v>
                </c:pt>
                <c:pt idx="7">
                  <c:v>8.1</c:v>
                </c:pt>
                <c:pt idx="8">
                  <c:v>8.17</c:v>
                </c:pt>
                <c:pt idx="9">
                  <c:v>8.34</c:v>
                </c:pt>
                <c:pt idx="10">
                  <c:v>8.48</c:v>
                </c:pt>
              </c:numCache>
            </c:numRef>
          </c:val>
          <c:smooth val="0"/>
          <c:extLst xmlns:c16r2="http://schemas.microsoft.com/office/drawing/2015/06/chart">
            <c:ext xmlns:c16="http://schemas.microsoft.com/office/drawing/2014/chart" uri="{C3380CC4-5D6E-409C-BE32-E72D297353CC}">
              <c16:uniqueId val="{00000000-E86B-4DD7-969D-DD0D72D66B37}"/>
            </c:ext>
          </c:extLst>
        </c:ser>
        <c:ser>
          <c:idx val="1"/>
          <c:order val="1"/>
          <c:tx>
            <c:strRef>
              <c:f>Sheet4!$D$3</c:f>
              <c:strCache>
                <c:ptCount val="1"/>
                <c:pt idx="0">
                  <c:v> RLS Growth (percent)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Sheet4!$B$4:$B$14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Sheet4!$D$4:$D$14</c:f>
              <c:numCache>
                <c:formatCode>0.00</c:formatCode>
                <c:ptCount val="11"/>
                <c:pt idx="0">
                  <c:v>0</c:v>
                </c:pt>
                <c:pt idx="1">
                  <c:v>0.8</c:v>
                </c:pt>
                <c:pt idx="2">
                  <c:v>0.93</c:v>
                </c:pt>
                <c:pt idx="3">
                  <c:v>0.26</c:v>
                </c:pt>
                <c:pt idx="4">
                  <c:v>1.58</c:v>
                </c:pt>
                <c:pt idx="5">
                  <c:v>1.42</c:v>
                </c:pt>
                <c:pt idx="6">
                  <c:v>1.4</c:v>
                </c:pt>
                <c:pt idx="7">
                  <c:v>1.89</c:v>
                </c:pt>
                <c:pt idx="8">
                  <c:v>0.86</c:v>
                </c:pt>
                <c:pt idx="9">
                  <c:v>2.08</c:v>
                </c:pt>
                <c:pt idx="10">
                  <c:v>1.68</c:v>
                </c:pt>
              </c:numCache>
            </c:numRef>
          </c:val>
          <c:smooth val="0"/>
          <c:extLst xmlns:c16r2="http://schemas.microsoft.com/office/drawing/2015/06/chart">
            <c:ext xmlns:c16="http://schemas.microsoft.com/office/drawing/2014/chart" uri="{C3380CC4-5D6E-409C-BE32-E72D297353CC}">
              <c16:uniqueId val="{00000001-E86B-4DD7-969D-DD0D72D66B37}"/>
            </c:ext>
          </c:extLst>
        </c:ser>
        <c:dLbls>
          <c:showLegendKey val="0"/>
          <c:showVal val="0"/>
          <c:showCatName val="0"/>
          <c:showSerName val="0"/>
          <c:showPercent val="0"/>
          <c:showBubbleSize val="0"/>
        </c:dLbls>
        <c:marker val="1"/>
        <c:smooth val="0"/>
        <c:axId val="317859328"/>
        <c:axId val="317860864"/>
      </c:lineChart>
      <c:catAx>
        <c:axId val="31785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17860864"/>
        <c:crosses val="autoZero"/>
        <c:auto val="1"/>
        <c:lblAlgn val="ctr"/>
        <c:lblOffset val="100"/>
        <c:noMultiLvlLbl val="0"/>
      </c:catAx>
      <c:valAx>
        <c:axId val="317860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1785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Sheet5!$C$3</c:f>
              <c:strCache>
                <c:ptCount val="1"/>
                <c:pt idx="0">
                  <c:v>Expenditure (thousand rupiah)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Sheet5!$C$4:$C$14</c:f>
              <c:numCache>
                <c:formatCode>0.00</c:formatCode>
                <c:ptCount val="11"/>
                <c:pt idx="0">
                  <c:v>7.64</c:v>
                </c:pt>
                <c:pt idx="1">
                  <c:v>7.52</c:v>
                </c:pt>
                <c:pt idx="2">
                  <c:v>7.59</c:v>
                </c:pt>
                <c:pt idx="3">
                  <c:v>7.61</c:v>
                </c:pt>
                <c:pt idx="4">
                  <c:v>7.73</c:v>
                </c:pt>
                <c:pt idx="5">
                  <c:v>7.84</c:v>
                </c:pt>
                <c:pt idx="6">
                  <c:v>7.95</c:v>
                </c:pt>
                <c:pt idx="7">
                  <c:v>8.1</c:v>
                </c:pt>
                <c:pt idx="8">
                  <c:v>8.17</c:v>
                </c:pt>
                <c:pt idx="9">
                  <c:v>8.34</c:v>
                </c:pt>
                <c:pt idx="10">
                  <c:v>8.48</c:v>
                </c:pt>
              </c:numCache>
            </c:numRef>
          </c:val>
          <c:smooth val="0"/>
          <c:extLst xmlns:c16r2="http://schemas.microsoft.com/office/drawing/2015/06/chart">
            <c:ext xmlns:c16="http://schemas.microsoft.com/office/drawing/2014/chart" uri="{C3380CC4-5D6E-409C-BE32-E72D297353CC}">
              <c16:uniqueId val="{00000000-48CF-44D1-AFBF-6D9C0E4A040E}"/>
            </c:ext>
          </c:extLst>
        </c:ser>
        <c:ser>
          <c:idx val="1"/>
          <c:order val="1"/>
          <c:tx>
            <c:strRef>
              <c:f>Sheet5!$D$3</c:f>
              <c:strCache>
                <c:ptCount val="1"/>
                <c:pt idx="0">
                  <c:v> Expenditure Growth (percent)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Sheet5!$B$4:$B$14</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Sheet5!$D$4:$D$14</c:f>
              <c:numCache>
                <c:formatCode>0.00</c:formatCode>
                <c:ptCount val="11"/>
                <c:pt idx="0">
                  <c:v>0</c:v>
                </c:pt>
                <c:pt idx="1">
                  <c:v>0.8</c:v>
                </c:pt>
                <c:pt idx="2">
                  <c:v>0.93</c:v>
                </c:pt>
                <c:pt idx="3">
                  <c:v>0.26</c:v>
                </c:pt>
                <c:pt idx="4">
                  <c:v>1.58</c:v>
                </c:pt>
                <c:pt idx="5">
                  <c:v>1.42</c:v>
                </c:pt>
                <c:pt idx="6">
                  <c:v>1.4</c:v>
                </c:pt>
                <c:pt idx="7">
                  <c:v>1.89</c:v>
                </c:pt>
                <c:pt idx="8">
                  <c:v>0.86</c:v>
                </c:pt>
                <c:pt idx="9">
                  <c:v>2.08</c:v>
                </c:pt>
                <c:pt idx="10">
                  <c:v>1.68</c:v>
                </c:pt>
              </c:numCache>
            </c:numRef>
          </c:val>
          <c:smooth val="0"/>
          <c:extLst xmlns:c16r2="http://schemas.microsoft.com/office/drawing/2015/06/chart">
            <c:ext xmlns:c16="http://schemas.microsoft.com/office/drawing/2014/chart" uri="{C3380CC4-5D6E-409C-BE32-E72D297353CC}">
              <c16:uniqueId val="{00000001-48CF-44D1-AFBF-6D9C0E4A040E}"/>
            </c:ext>
          </c:extLst>
        </c:ser>
        <c:dLbls>
          <c:showLegendKey val="0"/>
          <c:showVal val="0"/>
          <c:showCatName val="0"/>
          <c:showSerName val="0"/>
          <c:showPercent val="0"/>
          <c:showBubbleSize val="0"/>
        </c:dLbls>
        <c:marker val="1"/>
        <c:smooth val="0"/>
        <c:axId val="318379904"/>
        <c:axId val="318381440"/>
      </c:lineChart>
      <c:catAx>
        <c:axId val="31837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18381440"/>
        <c:crosses val="autoZero"/>
        <c:auto val="1"/>
        <c:lblAlgn val="ctr"/>
        <c:lblOffset val="100"/>
        <c:noMultiLvlLbl val="0"/>
      </c:catAx>
      <c:valAx>
        <c:axId val="318381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crossAx val="31837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77</TotalTime>
  <Pages>17</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SMPA1</dc:creator>
  <cp:keywords/>
  <dc:description/>
  <cp:lastModifiedBy>ismail - [2010]</cp:lastModifiedBy>
  <cp:revision>33</cp:revision>
  <dcterms:created xsi:type="dcterms:W3CDTF">2022-01-09T06:20:00Z</dcterms:created>
  <dcterms:modified xsi:type="dcterms:W3CDTF">2022-01-23T01:40:00Z</dcterms:modified>
</cp:coreProperties>
</file>