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8C7" w:rsidRDefault="00A53CF2">
      <w:pPr>
        <w:pStyle w:val="Heading1"/>
        <w:spacing w:line="276" w:lineRule="auto"/>
        <w:ind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Teacher Self-Efficacy for Professional Development during the COVID-19 Pandemic </w:t>
      </w:r>
      <w:proofErr w:type="gramStart"/>
      <w:r>
        <w:rPr>
          <w:rFonts w:ascii="Times New Roman" w:eastAsia="Times New Roman" w:hAnsi="Times New Roman" w:cs="Times New Roman"/>
          <w:sz w:val="28"/>
          <w:szCs w:val="28"/>
        </w:rPr>
        <w:t>In</w:t>
      </w:r>
      <w:proofErr w:type="gramEnd"/>
      <w:r>
        <w:rPr>
          <w:rFonts w:ascii="Times New Roman" w:eastAsia="Times New Roman" w:hAnsi="Times New Roman" w:cs="Times New Roman"/>
          <w:sz w:val="28"/>
          <w:szCs w:val="28"/>
        </w:rPr>
        <w:t xml:space="preserve"> East Kalimantan</w:t>
      </w:r>
    </w:p>
    <w:p w:rsidR="000008C7" w:rsidRDefault="00A53CF2">
      <w:pPr>
        <w:pStyle w:val="Heading1"/>
        <w:spacing w:before="0"/>
        <w:ind w:firstLine="0"/>
        <w:rPr>
          <w:rFonts w:ascii="Times New Roman" w:eastAsia="Times New Roman" w:hAnsi="Times New Roman" w:cs="Times New Roman"/>
          <w:sz w:val="24"/>
          <w:szCs w:val="24"/>
          <w:vertAlign w:val="superscript"/>
        </w:rPr>
      </w:pPr>
      <w:proofErr w:type="spellStart"/>
      <w:r>
        <w:rPr>
          <w:rFonts w:ascii="Times New Roman" w:eastAsia="Times New Roman" w:hAnsi="Times New Roman" w:cs="Times New Roman"/>
          <w:sz w:val="24"/>
          <w:szCs w:val="24"/>
        </w:rPr>
        <w:t>Suryaningsi</w:t>
      </w:r>
      <w:proofErr w:type="spellEnd"/>
      <w:r>
        <w:rPr>
          <w:rFonts w:ascii="Times New Roman" w:eastAsia="Times New Roman" w:hAnsi="Times New Roman" w:cs="Times New Roman"/>
          <w:sz w:val="24"/>
          <w:szCs w:val="24"/>
        </w:rPr>
        <w:t xml:space="preserve"> Suryaningsi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Nurlaili</w:t>
      </w:r>
      <w:proofErr w:type="spellEnd"/>
      <w:r>
        <w:rPr>
          <w:rFonts w:ascii="Times New Roman" w:eastAsia="Times New Roman" w:hAnsi="Times New Roman" w:cs="Times New Roman"/>
          <w:sz w:val="24"/>
          <w:szCs w:val="24"/>
        </w:rPr>
        <w:t xml:space="preserve"> Nurlaili</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Meiliyani</w:t>
      </w:r>
      <w:proofErr w:type="spellEnd"/>
      <w:r>
        <w:rPr>
          <w:rFonts w:ascii="Times New Roman" w:eastAsia="Times New Roman" w:hAnsi="Times New Roman" w:cs="Times New Roman"/>
          <w:sz w:val="24"/>
          <w:szCs w:val="24"/>
        </w:rPr>
        <w:t xml:space="preserve"> Siringoringo</w:t>
      </w:r>
      <w:r>
        <w:rPr>
          <w:rFonts w:ascii="Times New Roman" w:eastAsia="Times New Roman" w:hAnsi="Times New Roman" w:cs="Times New Roman"/>
          <w:sz w:val="24"/>
          <w:szCs w:val="24"/>
          <w:vertAlign w:val="superscript"/>
        </w:rPr>
        <w:t>3</w:t>
      </w:r>
    </w:p>
    <w:p w:rsidR="000008C7" w:rsidRDefault="00A53CF2" w:rsidP="00D33BEE">
      <w:pPr>
        <w:pStyle w:val="Heading1"/>
        <w:spacing w:before="0" w:line="240" w:lineRule="auto"/>
        <w:ind w:firstLine="0"/>
        <w:jc w:val="center"/>
        <w:rPr>
          <w:rFonts w:ascii="Times New Roman" w:eastAsia="Times New Roman" w:hAnsi="Times New Roman" w:cs="Times New Roman"/>
          <w:b w:val="0"/>
          <w:i/>
        </w:rPr>
      </w:pPr>
      <w:r>
        <w:rPr>
          <w:rFonts w:ascii="Times New Roman" w:eastAsia="Times New Roman" w:hAnsi="Times New Roman" w:cs="Times New Roman"/>
          <w:b w:val="0"/>
          <w:i/>
          <w:vertAlign w:val="superscript"/>
        </w:rPr>
        <w:t>1.2</w:t>
      </w:r>
      <w:r>
        <w:rPr>
          <w:rFonts w:ascii="Times New Roman" w:eastAsia="Times New Roman" w:hAnsi="Times New Roman" w:cs="Times New Roman"/>
          <w:b w:val="0"/>
          <w:i/>
        </w:rPr>
        <w:t xml:space="preserve">Faculty of Teacher Training and Education </w:t>
      </w:r>
      <w:proofErr w:type="spellStart"/>
      <w:r>
        <w:rPr>
          <w:rFonts w:ascii="Times New Roman" w:eastAsia="Times New Roman" w:hAnsi="Times New Roman" w:cs="Times New Roman"/>
          <w:b w:val="0"/>
          <w:i/>
        </w:rPr>
        <w:t>Mulawarman</w:t>
      </w:r>
      <w:proofErr w:type="spellEnd"/>
      <w:r>
        <w:rPr>
          <w:rFonts w:ascii="Times New Roman" w:eastAsia="Times New Roman" w:hAnsi="Times New Roman" w:cs="Times New Roman"/>
          <w:b w:val="0"/>
          <w:i/>
        </w:rPr>
        <w:t xml:space="preserve"> University </w:t>
      </w:r>
      <w:proofErr w:type="spellStart"/>
      <w:r>
        <w:rPr>
          <w:rFonts w:ascii="Times New Roman" w:eastAsia="Times New Roman" w:hAnsi="Times New Roman" w:cs="Times New Roman"/>
          <w:b w:val="0"/>
          <w:i/>
        </w:rPr>
        <w:t>Samarinda</w:t>
      </w:r>
      <w:proofErr w:type="spellEnd"/>
      <w:r>
        <w:rPr>
          <w:rFonts w:ascii="Times New Roman" w:eastAsia="Times New Roman" w:hAnsi="Times New Roman" w:cs="Times New Roman"/>
          <w:b w:val="0"/>
          <w:i/>
        </w:rPr>
        <w:t xml:space="preserve"> 75123, Indonesia</w:t>
      </w:r>
    </w:p>
    <w:p w:rsidR="000008C7" w:rsidRDefault="00A53CF2" w:rsidP="00D33BEE">
      <w:pPr>
        <w:pStyle w:val="Heading1"/>
        <w:spacing w:before="0" w:line="240" w:lineRule="auto"/>
        <w:ind w:firstLine="0"/>
        <w:jc w:val="center"/>
        <w:rPr>
          <w:rFonts w:ascii="Times New Roman" w:eastAsia="Times New Roman" w:hAnsi="Times New Roman" w:cs="Times New Roman"/>
          <w:b w:val="0"/>
          <w:i/>
        </w:rPr>
      </w:pPr>
      <w:r>
        <w:rPr>
          <w:rFonts w:ascii="Times New Roman" w:eastAsia="Times New Roman" w:hAnsi="Times New Roman" w:cs="Times New Roman"/>
          <w:b w:val="0"/>
          <w:i/>
          <w:vertAlign w:val="superscript"/>
        </w:rPr>
        <w:t xml:space="preserve">3 </w:t>
      </w:r>
      <w:r>
        <w:rPr>
          <w:rFonts w:ascii="Times New Roman" w:eastAsia="Times New Roman" w:hAnsi="Times New Roman" w:cs="Times New Roman"/>
          <w:b w:val="0"/>
          <w:i/>
        </w:rPr>
        <w:t xml:space="preserve">Statistics Study Program Faculty of Mathematics and Science Natural Knowledge </w:t>
      </w:r>
      <w:proofErr w:type="spellStart"/>
      <w:r>
        <w:rPr>
          <w:rFonts w:ascii="Times New Roman" w:eastAsia="Times New Roman" w:hAnsi="Times New Roman" w:cs="Times New Roman"/>
          <w:b w:val="0"/>
          <w:i/>
        </w:rPr>
        <w:t>Mulawarman</w:t>
      </w:r>
      <w:proofErr w:type="spellEnd"/>
      <w:r>
        <w:rPr>
          <w:rFonts w:ascii="Times New Roman" w:eastAsia="Times New Roman" w:hAnsi="Times New Roman" w:cs="Times New Roman"/>
          <w:b w:val="0"/>
          <w:i/>
        </w:rPr>
        <w:t xml:space="preserve"> University, Indonesia</w:t>
      </w:r>
    </w:p>
    <w:p w:rsidR="000008C7" w:rsidRDefault="00A53CF2" w:rsidP="00D33BEE">
      <w:pPr>
        <w:pStyle w:val="Heading1"/>
        <w:spacing w:before="0" w:line="240" w:lineRule="auto"/>
        <w:ind w:firstLine="0"/>
        <w:jc w:val="center"/>
        <w:rPr>
          <w:rFonts w:ascii="Times New Roman" w:eastAsia="Times New Roman" w:hAnsi="Times New Roman" w:cs="Times New Roman"/>
          <w:b w:val="0"/>
          <w:i/>
        </w:rPr>
      </w:pPr>
      <w:r>
        <w:rPr>
          <w:rFonts w:ascii="Times New Roman" w:eastAsia="Times New Roman" w:hAnsi="Times New Roman" w:cs="Times New Roman"/>
          <w:b w:val="0"/>
          <w:i/>
          <w:vertAlign w:val="superscript"/>
        </w:rPr>
        <w:t>1</w:t>
      </w:r>
      <w:r>
        <w:rPr>
          <w:rFonts w:ascii="Times New Roman" w:eastAsia="Times New Roman" w:hAnsi="Times New Roman" w:cs="Times New Roman"/>
          <w:b w:val="0"/>
          <w:i/>
        </w:rPr>
        <w:t>Corresponding author</w:t>
      </w:r>
      <w:r>
        <w:rPr>
          <w:rFonts w:ascii="Times New Roman" w:eastAsia="Times New Roman" w:hAnsi="Times New Roman" w:cs="Times New Roman"/>
          <w:b w:val="0"/>
          <w:i/>
          <w:vertAlign w:val="superscript"/>
        </w:rPr>
        <w:t>*</w:t>
      </w:r>
      <w:r>
        <w:rPr>
          <w:rFonts w:ascii="Times New Roman" w:eastAsia="Times New Roman" w:hAnsi="Times New Roman" w:cs="Times New Roman"/>
          <w:b w:val="0"/>
          <w:i/>
        </w:rPr>
        <w:t>: Suryaningsi@fkip.unmul.ac.id</w:t>
      </w:r>
    </w:p>
    <w:p w:rsidR="000008C7" w:rsidRDefault="00A53CF2">
      <w:pPr>
        <w:keepNext/>
        <w:pBdr>
          <w:top w:val="nil"/>
          <w:left w:val="nil"/>
          <w:bottom w:val="nil"/>
          <w:right w:val="nil"/>
          <w:between w:val="nil"/>
        </w:pBdr>
        <w:tabs>
          <w:tab w:val="left" w:pos="567"/>
        </w:tabs>
        <w:spacing w:before="520" w:after="260" w:line="260" w:lineRule="auto"/>
        <w:ind w:left="567" w:hanging="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Abstract</w:t>
      </w:r>
    </w:p>
    <w:p w:rsidR="000008C7" w:rsidRDefault="00455C73" w:rsidP="00455C73">
      <w:pPr>
        <w:pStyle w:val="Heading1"/>
        <w:tabs>
          <w:tab w:val="clear" w:pos="567"/>
          <w:tab w:val="left" w:pos="0"/>
        </w:tabs>
        <w:ind w:left="0" w:firstLine="0"/>
        <w:jc w:val="both"/>
        <w:rPr>
          <w:rFonts w:ascii="Times New Roman" w:eastAsia="Times New Roman" w:hAnsi="Times New Roman" w:cs="Times New Roman"/>
          <w:b w:val="0"/>
          <w:sz w:val="24"/>
          <w:szCs w:val="24"/>
        </w:rPr>
      </w:pPr>
      <w:proofErr w:type="gramStart"/>
      <w:r>
        <w:rPr>
          <w:rFonts w:ascii="Times New Roman" w:eastAsia="Times New Roman" w:hAnsi="Times New Roman" w:cs="Times New Roman"/>
          <w:b w:val="0"/>
          <w:i/>
          <w:sz w:val="24"/>
          <w:szCs w:val="24"/>
        </w:rPr>
        <w:t>S</w:t>
      </w:r>
      <w:r w:rsidR="00A53CF2">
        <w:rPr>
          <w:rFonts w:ascii="Times New Roman" w:eastAsia="Times New Roman" w:hAnsi="Times New Roman" w:cs="Times New Roman"/>
          <w:b w:val="0"/>
          <w:i/>
          <w:sz w:val="24"/>
          <w:szCs w:val="24"/>
        </w:rPr>
        <w:t>elf-efficacy</w:t>
      </w:r>
      <w:r w:rsidR="00A53CF2">
        <w:rPr>
          <w:rFonts w:ascii="Times New Roman" w:eastAsia="Times New Roman" w:hAnsi="Times New Roman" w:cs="Times New Roman"/>
          <w:b w:val="0"/>
          <w:sz w:val="24"/>
          <w:szCs w:val="24"/>
        </w:rPr>
        <w:t xml:space="preserve"> </w:t>
      </w:r>
      <w:proofErr w:type="spellStart"/>
      <w:r w:rsidR="00A53CF2">
        <w:rPr>
          <w:rFonts w:ascii="Times New Roman" w:eastAsia="Times New Roman" w:hAnsi="Times New Roman" w:cs="Times New Roman"/>
          <w:b w:val="0"/>
          <w:sz w:val="24"/>
          <w:szCs w:val="24"/>
        </w:rPr>
        <w:t>Teacheraffects</w:t>
      </w:r>
      <w:proofErr w:type="spellEnd"/>
      <w:r w:rsidR="00A53CF2">
        <w:rPr>
          <w:rFonts w:ascii="Times New Roman" w:eastAsia="Times New Roman" w:hAnsi="Times New Roman" w:cs="Times New Roman"/>
          <w:b w:val="0"/>
          <w:sz w:val="24"/>
          <w:szCs w:val="24"/>
        </w:rPr>
        <w:t xml:space="preserve"> the professional competence of teachers during the COVID-19 pandemic.</w:t>
      </w:r>
      <w:proofErr w:type="gramEnd"/>
      <w:r w:rsidR="00A53CF2">
        <w:rPr>
          <w:rFonts w:ascii="Times New Roman" w:eastAsia="Times New Roman" w:hAnsi="Times New Roman" w:cs="Times New Roman"/>
          <w:b w:val="0"/>
          <w:sz w:val="24"/>
          <w:szCs w:val="24"/>
        </w:rPr>
        <w:t xml:space="preserve"> Teachers are still required to be able to construct the knowledge, skills</w:t>
      </w:r>
      <w:r w:rsidR="009B3B43">
        <w:rPr>
          <w:rFonts w:ascii="Times New Roman" w:eastAsia="Times New Roman" w:hAnsi="Times New Roman" w:cs="Times New Roman"/>
          <w:b w:val="0"/>
          <w:sz w:val="24"/>
          <w:szCs w:val="24"/>
        </w:rPr>
        <w:t>,</w:t>
      </w:r>
      <w:r w:rsidR="00A53CF2">
        <w:rPr>
          <w:rFonts w:ascii="Times New Roman" w:eastAsia="Times New Roman" w:hAnsi="Times New Roman" w:cs="Times New Roman"/>
          <w:b w:val="0"/>
          <w:sz w:val="24"/>
          <w:szCs w:val="24"/>
        </w:rPr>
        <w:t xml:space="preserve"> and attitudes of students in online learning. This study aims to investigate the </w:t>
      </w:r>
      <w:r w:rsidR="00A53CF2">
        <w:rPr>
          <w:rFonts w:ascii="Times New Roman" w:eastAsia="Times New Roman" w:hAnsi="Times New Roman" w:cs="Times New Roman"/>
          <w:b w:val="0"/>
          <w:i/>
          <w:sz w:val="24"/>
          <w:szCs w:val="24"/>
        </w:rPr>
        <w:t>self-efficacy</w:t>
      </w:r>
      <w:r w:rsidR="00A53CF2">
        <w:rPr>
          <w:rFonts w:ascii="Times New Roman" w:eastAsia="Times New Roman" w:hAnsi="Times New Roman" w:cs="Times New Roman"/>
          <w:b w:val="0"/>
          <w:sz w:val="24"/>
          <w:szCs w:val="24"/>
        </w:rPr>
        <w:t xml:space="preserve"> experience of junior high school teachers to remain professional during the COVID-19 Pandemic. The research method uses a qualitative type with a narrative approach which is carried out from August to September 2021. Data collection first conducts observations by taking initial data at the education office as many as 35 teachers but only 14 teachers are willing to be interviewed as respondents in primary data using a purposive approach. </w:t>
      </w:r>
      <w:proofErr w:type="gramStart"/>
      <w:r w:rsidR="00A53CF2">
        <w:rPr>
          <w:rFonts w:ascii="Times New Roman" w:eastAsia="Times New Roman" w:hAnsi="Times New Roman" w:cs="Times New Roman"/>
          <w:b w:val="0"/>
          <w:sz w:val="24"/>
          <w:szCs w:val="24"/>
        </w:rPr>
        <w:t>sampling</w:t>
      </w:r>
      <w:proofErr w:type="gramEnd"/>
      <w:r w:rsidR="00A53CF2">
        <w:rPr>
          <w:rFonts w:ascii="Times New Roman" w:eastAsia="Times New Roman" w:hAnsi="Times New Roman" w:cs="Times New Roman"/>
          <w:b w:val="0"/>
          <w:sz w:val="24"/>
          <w:szCs w:val="24"/>
        </w:rPr>
        <w:t xml:space="preserve">. Then identify and then conduct online interviews, the data obtained are then grouped according to the needs of research data and given coding and then reduced, displaying data and drawing conclusions. The results showed that the experience of </w:t>
      </w:r>
      <w:r w:rsidR="00A53CF2">
        <w:rPr>
          <w:rFonts w:ascii="Times New Roman" w:eastAsia="Times New Roman" w:hAnsi="Times New Roman" w:cs="Times New Roman"/>
          <w:b w:val="0"/>
          <w:i/>
          <w:sz w:val="24"/>
          <w:szCs w:val="24"/>
        </w:rPr>
        <w:t>self-efficacy</w:t>
      </w:r>
      <w:r w:rsidR="00A53CF2">
        <w:rPr>
          <w:rFonts w:ascii="Times New Roman" w:eastAsia="Times New Roman" w:hAnsi="Times New Roman" w:cs="Times New Roman"/>
          <w:b w:val="0"/>
          <w:sz w:val="24"/>
          <w:szCs w:val="24"/>
        </w:rPr>
        <w:t xml:space="preserve"> of junior high school teachers to remain professional during the COVID-19 pandemic was difficult. Failures occur when constructing the knowledge, skills</w:t>
      </w:r>
      <w:r w:rsidR="009B3B43">
        <w:rPr>
          <w:rFonts w:ascii="Times New Roman" w:eastAsia="Times New Roman" w:hAnsi="Times New Roman" w:cs="Times New Roman"/>
          <w:b w:val="0"/>
          <w:sz w:val="24"/>
          <w:szCs w:val="24"/>
        </w:rPr>
        <w:t>,</w:t>
      </w:r>
      <w:r w:rsidR="00A53CF2">
        <w:rPr>
          <w:rFonts w:ascii="Times New Roman" w:eastAsia="Times New Roman" w:hAnsi="Times New Roman" w:cs="Times New Roman"/>
          <w:b w:val="0"/>
          <w:sz w:val="24"/>
          <w:szCs w:val="24"/>
        </w:rPr>
        <w:t xml:space="preserve"> and attitudes of students, so some teachers decide to attend workshops to help online learning. Teachers, students</w:t>
      </w:r>
      <w:r w:rsidR="009B3B43">
        <w:rPr>
          <w:rFonts w:ascii="Times New Roman" w:eastAsia="Times New Roman" w:hAnsi="Times New Roman" w:cs="Times New Roman"/>
          <w:b w:val="0"/>
          <w:sz w:val="24"/>
          <w:szCs w:val="24"/>
        </w:rPr>
        <w:t>,</w:t>
      </w:r>
      <w:r w:rsidR="00A53CF2">
        <w:rPr>
          <w:rFonts w:ascii="Times New Roman" w:eastAsia="Times New Roman" w:hAnsi="Times New Roman" w:cs="Times New Roman"/>
          <w:b w:val="0"/>
          <w:sz w:val="24"/>
          <w:szCs w:val="24"/>
        </w:rPr>
        <w:t xml:space="preserve"> and parents are worried because they cannot do their best due to the very limited support for online learning facilities. Teachers are also challenged to master </w:t>
      </w:r>
      <w:r w:rsidR="00AE0374">
        <w:rPr>
          <w:rFonts w:ascii="Times New Roman" w:eastAsia="Times New Roman" w:hAnsi="Times New Roman" w:cs="Times New Roman"/>
          <w:b w:val="0"/>
          <w:sz w:val="24"/>
          <w:szCs w:val="24"/>
        </w:rPr>
        <w:t xml:space="preserve">the </w:t>
      </w:r>
      <w:r w:rsidR="00A53CF2">
        <w:rPr>
          <w:rFonts w:ascii="Times New Roman" w:eastAsia="Times New Roman" w:hAnsi="Times New Roman" w:cs="Times New Roman"/>
          <w:b w:val="0"/>
          <w:sz w:val="24"/>
          <w:szCs w:val="24"/>
        </w:rPr>
        <w:t xml:space="preserve">technology so that online learning continues to be carried out with the support of workshop activities to increase competence and quality of learning. The conclusion that </w:t>
      </w:r>
      <w:r w:rsidR="00A53CF2">
        <w:rPr>
          <w:rFonts w:ascii="Times New Roman" w:eastAsia="Times New Roman" w:hAnsi="Times New Roman" w:cs="Times New Roman"/>
          <w:b w:val="0"/>
          <w:i/>
          <w:sz w:val="24"/>
          <w:szCs w:val="24"/>
        </w:rPr>
        <w:t>the</w:t>
      </w:r>
      <w:r w:rsidR="00AE0374">
        <w:rPr>
          <w:rFonts w:ascii="Times New Roman" w:eastAsia="Times New Roman" w:hAnsi="Times New Roman" w:cs="Times New Roman"/>
          <w:b w:val="0"/>
          <w:i/>
          <w:sz w:val="24"/>
          <w:szCs w:val="24"/>
        </w:rPr>
        <w:t xml:space="preserve"> </w:t>
      </w:r>
      <w:r w:rsidR="00A53CF2">
        <w:rPr>
          <w:rFonts w:ascii="Times New Roman" w:eastAsia="Times New Roman" w:hAnsi="Times New Roman" w:cs="Times New Roman"/>
          <w:b w:val="0"/>
          <w:i/>
          <w:sz w:val="24"/>
          <w:szCs w:val="24"/>
        </w:rPr>
        <w:t>self-efficacy experience</w:t>
      </w:r>
      <w:r w:rsidR="00AE0374">
        <w:rPr>
          <w:rFonts w:ascii="Times New Roman" w:eastAsia="Times New Roman" w:hAnsi="Times New Roman" w:cs="Times New Roman"/>
          <w:b w:val="0"/>
          <w:i/>
          <w:sz w:val="24"/>
          <w:szCs w:val="24"/>
        </w:rPr>
        <w:t>d</w:t>
      </w:r>
      <w:r w:rsidR="00A53CF2">
        <w:rPr>
          <w:rFonts w:ascii="Times New Roman" w:eastAsia="Times New Roman" w:hAnsi="Times New Roman" w:cs="Times New Roman"/>
          <w:b w:val="0"/>
          <w:sz w:val="24"/>
          <w:szCs w:val="24"/>
        </w:rPr>
        <w:t xml:space="preserve"> teacher</w:t>
      </w:r>
      <w:r w:rsidR="009B3B43">
        <w:rPr>
          <w:rFonts w:ascii="Times New Roman" w:eastAsia="Times New Roman" w:hAnsi="Times New Roman" w:cs="Times New Roman"/>
          <w:b w:val="0"/>
          <w:sz w:val="24"/>
          <w:szCs w:val="24"/>
        </w:rPr>
        <w:t xml:space="preserve">s </w:t>
      </w:r>
      <w:r w:rsidR="00A53CF2">
        <w:rPr>
          <w:rFonts w:ascii="Times New Roman" w:eastAsia="Times New Roman" w:hAnsi="Times New Roman" w:cs="Times New Roman"/>
          <w:b w:val="0"/>
          <w:sz w:val="24"/>
          <w:szCs w:val="24"/>
        </w:rPr>
        <w:t>to remain professional is still dubious and even causes stress, because teachers are increasingly busy and work hard to prepare and ensure that learning remains effective. The practical implication is that the results of future research can be tested by teachers in high school.</w:t>
      </w:r>
    </w:p>
    <w:p w:rsidR="000008C7" w:rsidRDefault="00A53CF2">
      <w:pPr>
        <w:spacing w:line="276" w:lineRule="auto"/>
        <w:ind w:left="1560" w:hanging="1560"/>
        <w:jc w:val="both"/>
        <w:rPr>
          <w:rFonts w:ascii="Times New Roman" w:eastAsia="Times New Roman" w:hAnsi="Times New Roman" w:cs="Times New Roman"/>
          <w:sz w:val="24"/>
          <w:szCs w:val="24"/>
        </w:rPr>
      </w:pPr>
      <w:bookmarkStart w:id="0" w:name="_30j0zll" w:colFirst="0" w:colLast="0"/>
      <w:bookmarkEnd w:id="0"/>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COVID-19, professional competence, online learning, </w:t>
      </w:r>
      <w:r>
        <w:rPr>
          <w:rFonts w:ascii="Times New Roman" w:eastAsia="Times New Roman" w:hAnsi="Times New Roman" w:cs="Times New Roman"/>
          <w:i/>
          <w:sz w:val="24"/>
          <w:szCs w:val="24"/>
        </w:rPr>
        <w:t>self-efficacy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teacher.</w:t>
      </w:r>
    </w:p>
    <w:p w:rsidR="000008C7" w:rsidRDefault="000008C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0008C7" w:rsidRDefault="00A53CF2">
      <w:pPr>
        <w:pBdr>
          <w:top w:val="nil"/>
          <w:left w:val="nil"/>
          <w:bottom w:val="nil"/>
          <w:right w:val="nil"/>
          <w:between w:val="nil"/>
        </w:pBdr>
        <w:spacing w:after="0" w:line="2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w:t>
      </w:r>
    </w:p>
    <w:p w:rsidR="000008C7" w:rsidRDefault="00A53CF2">
      <w:pPr>
        <w:jc w:val="both"/>
        <w:rPr>
          <w:rFonts w:ascii="Times New Roman" w:eastAsia="Times New Roman" w:hAnsi="Times New Roman" w:cs="Times New Roman"/>
          <w:sz w:val="24"/>
          <w:szCs w:val="24"/>
        </w:rPr>
      </w:pPr>
      <w:bookmarkStart w:id="1" w:name="_1fob9te" w:colFirst="0" w:colLast="0"/>
      <w:bookmarkEnd w:id="1"/>
      <w:r>
        <w:rPr>
          <w:rFonts w:ascii="Times New Roman" w:eastAsia="Times New Roman" w:hAnsi="Times New Roman" w:cs="Times New Roman"/>
          <w:sz w:val="24"/>
          <w:szCs w:val="24"/>
        </w:rPr>
        <w:t xml:space="preserve">The COVID-19 pandemic has hit the world in almost two years. Various changes occurred both in the aspects of </w:t>
      </w:r>
      <w:r w:rsidR="009B3B4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economy, health, social behavior, government</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education (</w:t>
      </w:r>
      <w:proofErr w:type="spellStart"/>
      <w:r>
        <w:rPr>
          <w:rFonts w:ascii="Times New Roman" w:eastAsia="Times New Roman" w:hAnsi="Times New Roman" w:cs="Times New Roman"/>
          <w:sz w:val="24"/>
          <w:szCs w:val="24"/>
        </w:rPr>
        <w:t>Courtemanche</w:t>
      </w:r>
      <w:proofErr w:type="spellEnd"/>
      <w:r>
        <w:rPr>
          <w:rFonts w:ascii="Times New Roman" w:eastAsia="Times New Roman" w:hAnsi="Times New Roman" w:cs="Times New Roman"/>
          <w:sz w:val="24"/>
          <w:szCs w:val="24"/>
        </w:rPr>
        <w:t xml:space="preserve"> et al., 2020). There is a policy set by the government to shift work that should be done in the </w:t>
      </w:r>
      <w:proofErr w:type="gramStart"/>
      <w:r>
        <w:rPr>
          <w:rFonts w:ascii="Times New Roman" w:eastAsia="Times New Roman" w:hAnsi="Times New Roman" w:cs="Times New Roman"/>
          <w:sz w:val="24"/>
          <w:szCs w:val="24"/>
        </w:rPr>
        <w:t>office,</w:t>
      </w:r>
      <w:proofErr w:type="gramEnd"/>
      <w:r>
        <w:rPr>
          <w:rFonts w:ascii="Times New Roman" w:eastAsia="Times New Roman" w:hAnsi="Times New Roman" w:cs="Times New Roman"/>
          <w:sz w:val="24"/>
          <w:szCs w:val="24"/>
        </w:rPr>
        <w:t xml:space="preserve"> schools have changed to be done at home. Limiting distance with the term social and physical distancing, granting restrictions on community activities. Finally, education immediately took the attitude to innovate, everything was done easily and quickly (Copeland et al., 2021). The application of service acceleration and various shifts provides space for accelerating the application of education in the industrial revolution 4.0 </w:t>
      </w:r>
      <w:proofErr w:type="gramStart"/>
      <w:r>
        <w:rPr>
          <w:rFonts w:ascii="Times New Roman" w:eastAsia="Times New Roman" w:hAnsi="Times New Roman" w:cs="Times New Roman"/>
          <w:sz w:val="24"/>
          <w:szCs w:val="24"/>
        </w:rPr>
        <w:t>era</w:t>
      </w:r>
      <w:proofErr w:type="gramEnd"/>
      <w:r>
        <w:rPr>
          <w:rFonts w:ascii="Times New Roman" w:eastAsia="Times New Roman" w:hAnsi="Times New Roman" w:cs="Times New Roman"/>
          <w:sz w:val="24"/>
          <w:szCs w:val="24"/>
        </w:rPr>
        <w:t>. All school subjects are required to make changes quickly by adapting to utilizing technology.</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learning has become a necessity during the COVID-19 Pandemic. It is a solution to keep learning </w:t>
      </w:r>
      <w:r w:rsidR="009B3B43">
        <w:rPr>
          <w:rFonts w:ascii="Times New Roman" w:eastAsia="Times New Roman" w:hAnsi="Times New Roman" w:cs="Times New Roman"/>
          <w:sz w:val="24"/>
          <w:szCs w:val="24"/>
        </w:rPr>
        <w:t>amid</w:t>
      </w:r>
      <w:r>
        <w:rPr>
          <w:rFonts w:ascii="Times New Roman" w:eastAsia="Times New Roman" w:hAnsi="Times New Roman" w:cs="Times New Roman"/>
          <w:sz w:val="24"/>
          <w:szCs w:val="24"/>
        </w:rPr>
        <w:t xml:space="preserve"> a storm hitting all of humanity in this world. The use of technology in communication and learning can create opportunities and challenges in the implementation of education (Bento et al., 2020). A new opportunity that arises is the development of multimedia, a learning method that cannot be limited. Opening opportunities for someone to continue to work and develop themselves in education (</w:t>
      </w:r>
      <w:proofErr w:type="spellStart"/>
      <w:r>
        <w:rPr>
          <w:rFonts w:ascii="Times New Roman" w:eastAsia="Times New Roman" w:hAnsi="Times New Roman" w:cs="Times New Roman"/>
          <w:sz w:val="24"/>
          <w:szCs w:val="24"/>
        </w:rPr>
        <w:t>Frutos</w:t>
      </w:r>
      <w:proofErr w:type="spellEnd"/>
      <w:r>
        <w:rPr>
          <w:rFonts w:ascii="Times New Roman" w:eastAsia="Times New Roman" w:hAnsi="Times New Roman" w:cs="Times New Roman"/>
          <w:sz w:val="24"/>
          <w:szCs w:val="24"/>
        </w:rPr>
        <w:t xml:space="preserve"> et al., 2020).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Mastery of technology and adaptation of teachers in learning systems such as the use of the Zoom application, Google </w:t>
      </w:r>
      <w:proofErr w:type="gramStart"/>
      <w:r>
        <w:rPr>
          <w:rFonts w:ascii="Times New Roman" w:eastAsia="Times New Roman" w:hAnsi="Times New Roman" w:cs="Times New Roman"/>
          <w:sz w:val="24"/>
          <w:szCs w:val="24"/>
        </w:rPr>
        <w:t>meet,</w:t>
      </w:r>
      <w:proofErr w:type="gramEnd"/>
      <w:r>
        <w:rPr>
          <w:rFonts w:ascii="Times New Roman" w:eastAsia="Times New Roman" w:hAnsi="Times New Roman" w:cs="Times New Roman"/>
          <w:sz w:val="24"/>
          <w:szCs w:val="24"/>
        </w:rPr>
        <w:t xml:space="preserve"> LMS, and others, as well as the use of laptops, Android</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various other types. Everything can be used so that the implementation of online learning becomes very important. Finally, teachers will experience challenges in online learning (</w:t>
      </w:r>
      <w:proofErr w:type="spellStart"/>
      <w:r>
        <w:rPr>
          <w:rFonts w:ascii="Times New Roman" w:eastAsia="Times New Roman" w:hAnsi="Times New Roman" w:cs="Times New Roman"/>
          <w:sz w:val="24"/>
          <w:szCs w:val="24"/>
        </w:rPr>
        <w:t>Fessell</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Cherniss</w:t>
      </w:r>
      <w:proofErr w:type="spellEnd"/>
      <w:r>
        <w:rPr>
          <w:rFonts w:ascii="Times New Roman" w:eastAsia="Times New Roman" w:hAnsi="Times New Roman" w:cs="Times New Roman"/>
          <w:sz w:val="24"/>
          <w:szCs w:val="24"/>
        </w:rPr>
        <w:t>, 2020).</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low </w:t>
      </w:r>
      <w:r>
        <w:rPr>
          <w:rFonts w:ascii="Times New Roman" w:eastAsia="Times New Roman" w:hAnsi="Times New Roman" w:cs="Times New Roman"/>
          <w:i/>
          <w:sz w:val="24"/>
          <w:szCs w:val="24"/>
        </w:rPr>
        <w:t>self-efficacy of</w:t>
      </w:r>
      <w:r>
        <w:rPr>
          <w:rFonts w:ascii="Times New Roman" w:eastAsia="Times New Roman" w:hAnsi="Times New Roman" w:cs="Times New Roman"/>
          <w:sz w:val="24"/>
          <w:szCs w:val="24"/>
        </w:rPr>
        <w:t xml:space="preserve"> teachers in carrying out their duties to always develop themselves as professional teachers, so that efforts to achieve teacher professionalism are still lacking (Dahl, 2019; </w:t>
      </w:r>
      <w:proofErr w:type="spellStart"/>
      <w:r>
        <w:rPr>
          <w:rFonts w:ascii="Times New Roman" w:eastAsia="Times New Roman" w:hAnsi="Times New Roman" w:cs="Times New Roman"/>
          <w:sz w:val="24"/>
          <w:szCs w:val="24"/>
        </w:rPr>
        <w:t>Perren</w:t>
      </w:r>
      <w:proofErr w:type="spellEnd"/>
      <w:r>
        <w:rPr>
          <w:rFonts w:ascii="Times New Roman" w:eastAsia="Times New Roman" w:hAnsi="Times New Roman" w:cs="Times New Roman"/>
          <w:sz w:val="24"/>
          <w:szCs w:val="24"/>
        </w:rPr>
        <w:t xml:space="preserve"> et al., 2017). </w:t>
      </w:r>
      <w:r>
        <w:rPr>
          <w:rFonts w:ascii="Times New Roman" w:eastAsia="Times New Roman" w:hAnsi="Times New Roman" w:cs="Times New Roman"/>
          <w:sz w:val="24"/>
          <w:szCs w:val="24"/>
          <w:highlight w:val="white"/>
        </w:rPr>
        <w:t xml:space="preserve"> Bandura, (1982) states that the ability to do something, at a high level, depends on the belief that a person has in his abilities. </w:t>
      </w:r>
    </w:p>
    <w:p w:rsidR="000008C7" w:rsidRDefault="00A53CF2">
      <w:pPr>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Teachers have not passed certification as a symbol of professionalism. It is important to make efforts to improve the quality of teacher education starting with increasing professionalism, because</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the learning process, teachers have very strategic functions and roles, especially in </w:t>
      </w:r>
      <w:proofErr w:type="spellStart"/>
      <w:r>
        <w:rPr>
          <w:rFonts w:ascii="Times New Roman" w:eastAsia="Times New Roman" w:hAnsi="Times New Roman" w:cs="Times New Roman"/>
          <w:sz w:val="24"/>
          <w:szCs w:val="24"/>
        </w:rPr>
        <w:t>dynamizing</w:t>
      </w:r>
      <w:proofErr w:type="spellEnd"/>
      <w:r>
        <w:rPr>
          <w:rFonts w:ascii="Times New Roman" w:eastAsia="Times New Roman" w:hAnsi="Times New Roman" w:cs="Times New Roman"/>
          <w:sz w:val="24"/>
          <w:szCs w:val="24"/>
        </w:rPr>
        <w:t xml:space="preserve"> teaching and learning activities (</w:t>
      </w:r>
      <w:proofErr w:type="spellStart"/>
      <w:r>
        <w:rPr>
          <w:rFonts w:ascii="Times New Roman" w:eastAsia="Times New Roman" w:hAnsi="Times New Roman" w:cs="Times New Roman"/>
          <w:sz w:val="24"/>
          <w:szCs w:val="24"/>
        </w:rPr>
        <w:t>Yuanita</w:t>
      </w:r>
      <w:proofErr w:type="spellEnd"/>
      <w:r>
        <w:rPr>
          <w:rFonts w:ascii="Times New Roman" w:eastAsia="Times New Roman" w:hAnsi="Times New Roman" w:cs="Times New Roman"/>
          <w:sz w:val="24"/>
          <w:szCs w:val="24"/>
        </w:rPr>
        <w:t xml:space="preserve"> et al., 2019). The demands and obligations of a teacher to be called a professional are the first that a teacher must fulfill is to achieve a minimum education level of bachelor degree (S1) or diploma four (D4) and or be 50 years old with a working period of at least 20 years, is to join a certification program to obtain an educator certificate.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lack of attention to discipline is even found in teachers who are late for school and also go home early (</w:t>
      </w:r>
      <w:proofErr w:type="spellStart"/>
      <w:r>
        <w:rPr>
          <w:rFonts w:ascii="Times New Roman" w:eastAsia="Times New Roman" w:hAnsi="Times New Roman" w:cs="Times New Roman"/>
          <w:sz w:val="24"/>
          <w:szCs w:val="24"/>
        </w:rPr>
        <w:t>Kunesh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Noltemeyer</w:t>
      </w:r>
      <w:proofErr w:type="spellEnd"/>
      <w:r>
        <w:rPr>
          <w:rFonts w:ascii="Times New Roman" w:eastAsia="Times New Roman" w:hAnsi="Times New Roman" w:cs="Times New Roman"/>
          <w:sz w:val="24"/>
          <w:szCs w:val="24"/>
        </w:rPr>
        <w:t>, 2015). Discipline</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based on awareness will support successful learning (Zhao &amp; Liu, 2021). </w:t>
      </w:r>
      <w:proofErr w:type="spellStart"/>
      <w:r>
        <w:rPr>
          <w:rFonts w:ascii="Times New Roman" w:eastAsia="Times New Roman" w:hAnsi="Times New Roman" w:cs="Times New Roman"/>
          <w:sz w:val="24"/>
          <w:szCs w:val="24"/>
        </w:rPr>
        <w:t>Winberg</w:t>
      </w:r>
      <w:proofErr w:type="spellEnd"/>
      <w:r>
        <w:rPr>
          <w:rFonts w:ascii="Times New Roman" w:eastAsia="Times New Roman" w:hAnsi="Times New Roman" w:cs="Times New Roman"/>
          <w:sz w:val="24"/>
          <w:szCs w:val="24"/>
        </w:rPr>
        <w:t xml:space="preserve"> et al., (2018)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implementation of learning is strongly supported by high discipline from the teacher. The realization of a safe, orderly</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orderly school makes students able to study in peace (</w:t>
      </w:r>
      <w:proofErr w:type="spellStart"/>
      <w:r>
        <w:rPr>
          <w:rFonts w:ascii="Times New Roman" w:eastAsia="Times New Roman" w:hAnsi="Times New Roman" w:cs="Times New Roman"/>
          <w:sz w:val="24"/>
          <w:szCs w:val="24"/>
        </w:rPr>
        <w:t>Kartadinata</w:t>
      </w:r>
      <w:proofErr w:type="spellEnd"/>
      <w:r>
        <w:rPr>
          <w:rFonts w:ascii="Times New Roman" w:eastAsia="Times New Roman" w:hAnsi="Times New Roman" w:cs="Times New Roman"/>
          <w:sz w:val="24"/>
          <w:szCs w:val="24"/>
        </w:rPr>
        <w:t xml:space="preserve"> et al., 2011). </w:t>
      </w:r>
      <w:r w:rsidR="009B3B43">
        <w:rPr>
          <w:rFonts w:ascii="Times New Roman" w:eastAsia="Times New Roman" w:hAnsi="Times New Roman" w:cs="Times New Roman"/>
          <w:sz w:val="24"/>
          <w:szCs w:val="24"/>
        </w:rPr>
        <w:lastRenderedPageBreak/>
        <w:t>Schools need</w:t>
      </w:r>
      <w:r>
        <w:rPr>
          <w:rFonts w:ascii="Times New Roman" w:eastAsia="Times New Roman" w:hAnsi="Times New Roman" w:cs="Times New Roman"/>
          <w:sz w:val="24"/>
          <w:szCs w:val="24"/>
        </w:rPr>
        <w:t xml:space="preserve"> to have rules of conduct that contain orders and prohibitions as well as strict sanctions (Siegel, 2014). Thus, all components of the school must uphold the rules that apply in the school.</w:t>
      </w:r>
    </w:p>
    <w:p w:rsidR="000008C7" w:rsidRDefault="00A53CF2">
      <w:pPr>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 xml:space="preserve">It was found that there were teachers who did not implement online learning based on a predetermined </w:t>
      </w:r>
      <w:proofErr w:type="gramStart"/>
      <w:r>
        <w:rPr>
          <w:rFonts w:ascii="Times New Roman" w:eastAsia="Times New Roman" w:hAnsi="Times New Roman" w:cs="Times New Roman"/>
          <w:sz w:val="24"/>
          <w:szCs w:val="24"/>
        </w:rPr>
        <w:t>schedule,</w:t>
      </w:r>
      <w:proofErr w:type="gramEnd"/>
      <w:r>
        <w:rPr>
          <w:rFonts w:ascii="Times New Roman" w:eastAsia="Times New Roman" w:hAnsi="Times New Roman" w:cs="Times New Roman"/>
          <w:sz w:val="24"/>
          <w:szCs w:val="24"/>
        </w:rPr>
        <w:t xml:space="preserve"> even the teacher only gave assignments. A teacher develops duties and roles as educating, teaching, and training (Sato et al., 2020). Besides that, the teacher can manage the class effectively and pleasantly and be able to read the situation and condition of the students in the class so that the learning process can be carried out professionally. The duties of this teacher have been legally stated in Government Regulation No. 74 of 2008 concerning Teachers. Article 1 </w:t>
      </w:r>
      <w:proofErr w:type="gramStart"/>
      <w:r>
        <w:rPr>
          <w:rFonts w:ascii="Times New Roman" w:eastAsia="Times New Roman" w:hAnsi="Times New Roman" w:cs="Times New Roman"/>
          <w:sz w:val="24"/>
          <w:szCs w:val="24"/>
        </w:rPr>
        <w:t>states</w:t>
      </w:r>
      <w:proofErr w:type="gramEnd"/>
      <w:r>
        <w:rPr>
          <w:rFonts w:ascii="Times New Roman" w:eastAsia="Times New Roman" w:hAnsi="Times New Roman" w:cs="Times New Roman"/>
          <w:sz w:val="24"/>
          <w:szCs w:val="24"/>
        </w:rPr>
        <w:t xml:space="preserve"> that teachers are professional educators with the main task of educating, teaching, guiding, directing, training, assessing, and evaluating students. The high level of commitment and professionalism of teachers in carrying out their main tasks in schools will potentially increase the quality of education.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inability to master technology is due to limited infrastructure. Learning that utilizes ICT optimally will be able to improve student achievement (Gerick et al., 2017). Learning by utilizing or integrating ICT can make it easier for teachers and students because it provides opportunities for students to learn dynamically and interactively (Solar &amp; </w:t>
      </w:r>
      <w:proofErr w:type="spellStart"/>
      <w:r>
        <w:rPr>
          <w:rFonts w:ascii="Times New Roman" w:eastAsia="Times New Roman" w:hAnsi="Times New Roman" w:cs="Times New Roman"/>
          <w:sz w:val="24"/>
          <w:szCs w:val="24"/>
        </w:rPr>
        <w:t>Dockendorff</w:t>
      </w:r>
      <w:proofErr w:type="spellEnd"/>
      <w:r>
        <w:rPr>
          <w:rFonts w:ascii="Times New Roman" w:eastAsia="Times New Roman" w:hAnsi="Times New Roman" w:cs="Times New Roman"/>
          <w:sz w:val="24"/>
          <w:szCs w:val="24"/>
        </w:rPr>
        <w:t>, 2019). In addition, students can find learning materials easily if they use ICT (</w:t>
      </w:r>
      <w:proofErr w:type="spellStart"/>
      <w:r>
        <w:rPr>
          <w:rFonts w:ascii="Times New Roman" w:eastAsia="Times New Roman" w:hAnsi="Times New Roman" w:cs="Times New Roman"/>
          <w:sz w:val="24"/>
          <w:szCs w:val="24"/>
        </w:rPr>
        <w:t>Retnawati</w:t>
      </w:r>
      <w:proofErr w:type="spellEnd"/>
      <w:r>
        <w:rPr>
          <w:rFonts w:ascii="Times New Roman" w:eastAsia="Times New Roman" w:hAnsi="Times New Roman" w:cs="Times New Roman"/>
          <w:sz w:val="24"/>
          <w:szCs w:val="24"/>
        </w:rPr>
        <w:t xml:space="preserve"> et al., 2018). (</w:t>
      </w:r>
      <w:proofErr w:type="spellStart"/>
      <w:r>
        <w:rPr>
          <w:rFonts w:ascii="Times New Roman" w:eastAsia="Times New Roman" w:hAnsi="Times New Roman" w:cs="Times New Roman"/>
          <w:sz w:val="24"/>
          <w:szCs w:val="24"/>
        </w:rPr>
        <w:t>Retnawati</w:t>
      </w:r>
      <w:proofErr w:type="spellEnd"/>
      <w:r>
        <w:rPr>
          <w:rFonts w:ascii="Times New Roman" w:eastAsia="Times New Roman" w:hAnsi="Times New Roman" w:cs="Times New Roman"/>
          <w:sz w:val="24"/>
          <w:szCs w:val="24"/>
        </w:rPr>
        <w:t xml:space="preserve"> et al., 2018),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low ability of teachers to use ICT in learning is a challenge that must be solved to improve the quality of education.</w:t>
      </w:r>
    </w:p>
    <w:p w:rsidR="000008C7" w:rsidRDefault="00A53CF2">
      <w:pPr>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 xml:space="preserve">Based on the results of the literature search above, there have not been many studies related to the </w:t>
      </w:r>
      <w:r>
        <w:rPr>
          <w:rFonts w:ascii="Times New Roman" w:eastAsia="Times New Roman" w:hAnsi="Times New Roman" w:cs="Times New Roman"/>
          <w:i/>
          <w:sz w:val="24"/>
          <w:szCs w:val="24"/>
        </w:rPr>
        <w:t xml:space="preserve">self-efficacy </w:t>
      </w:r>
      <w:r>
        <w:rPr>
          <w:rFonts w:ascii="Times New Roman" w:eastAsia="Times New Roman" w:hAnsi="Times New Roman" w:cs="Times New Roman"/>
          <w:sz w:val="24"/>
          <w:szCs w:val="24"/>
        </w:rPr>
        <w:t xml:space="preserve">of professional teachers in online learning during the COVID-19 pandemic. Previous research is more related to the professionalism of teachers in offline learning. </w:t>
      </w:r>
      <w:r w:rsidR="009B3B43">
        <w:rPr>
          <w:rFonts w:ascii="Times New Roman" w:eastAsia="Times New Roman" w:hAnsi="Times New Roman" w:cs="Times New Roman"/>
          <w:sz w:val="24"/>
          <w:szCs w:val="24"/>
        </w:rPr>
        <w:t>No research</w:t>
      </w:r>
      <w:r>
        <w:rPr>
          <w:rFonts w:ascii="Times New Roman" w:eastAsia="Times New Roman" w:hAnsi="Times New Roman" w:cs="Times New Roman"/>
          <w:sz w:val="24"/>
          <w:szCs w:val="24"/>
        </w:rPr>
        <w:t xml:space="preserve"> aims to investigate the </w:t>
      </w:r>
      <w:r>
        <w:rPr>
          <w:rFonts w:ascii="Times New Roman" w:eastAsia="Times New Roman" w:hAnsi="Times New Roman" w:cs="Times New Roman"/>
          <w:i/>
          <w:sz w:val="24"/>
          <w:szCs w:val="24"/>
        </w:rPr>
        <w:t xml:space="preserve">self-efficacy of </w:t>
      </w:r>
      <w:r>
        <w:rPr>
          <w:rFonts w:ascii="Times New Roman" w:eastAsia="Times New Roman" w:hAnsi="Times New Roman" w:cs="Times New Roman"/>
          <w:sz w:val="24"/>
          <w:szCs w:val="24"/>
        </w:rPr>
        <w:t>teachers to continue to realize professional competence during the COVID-19 demonstrations.</w:t>
      </w:r>
    </w:p>
    <w:p w:rsidR="000008C7" w:rsidRDefault="00A53CF2">
      <w:pPr>
        <w:pStyle w:val="Heading1"/>
        <w:numPr>
          <w:ilvl w:val="0"/>
          <w:numId w:val="1"/>
        </w:numPr>
        <w:tabs>
          <w:tab w:val="left" w:pos="855"/>
        </w:tabs>
        <w:rPr>
          <w:rFonts w:ascii="Times New Roman" w:eastAsia="Times New Roman" w:hAnsi="Times New Roman" w:cs="Times New Roman"/>
          <w:sz w:val="24"/>
          <w:szCs w:val="24"/>
        </w:rPr>
      </w:pPr>
      <w:r>
        <w:rPr>
          <w:rFonts w:ascii="Times New Roman" w:eastAsia="Times New Roman" w:hAnsi="Times New Roman" w:cs="Times New Roman"/>
          <w:sz w:val="24"/>
          <w:szCs w:val="24"/>
        </w:rPr>
        <w:t>Methodology</w:t>
      </w:r>
    </w:p>
    <w:p w:rsidR="000008C7" w:rsidRDefault="00A53CF2">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Qualitative research with a narrative approach, collecting data through observation, namely a follow-up to previous research, using interview instruments to collect data.</w:t>
      </w:r>
      <w:proofErr w:type="gramEnd"/>
      <w:r>
        <w:rPr>
          <w:rFonts w:ascii="Times New Roman" w:eastAsia="Times New Roman" w:hAnsi="Times New Roman" w:cs="Times New Roman"/>
          <w:sz w:val="24"/>
          <w:szCs w:val="24"/>
        </w:rPr>
        <w:t xml:space="preserve"> Several sources of literature are used both from articles and regulations as well as the latest news info done by documenting. The research target was East Kalimantan teachers, collecting data on teachers through purposive sampling technique, namely 14 teachers who were willing to become respondents, with the following steps: </w:t>
      </w:r>
      <w:r>
        <w:rPr>
          <w:rFonts w:ascii="Times New Roman" w:eastAsia="Times New Roman" w:hAnsi="Times New Roman" w:cs="Times New Roman"/>
          <w:b/>
          <w:sz w:val="24"/>
          <w:szCs w:val="24"/>
        </w:rPr>
        <w:t>First</w:t>
      </w:r>
      <w:r>
        <w:rPr>
          <w:rFonts w:ascii="Times New Roman" w:eastAsia="Times New Roman" w:hAnsi="Times New Roman" w:cs="Times New Roman"/>
          <w:sz w:val="24"/>
          <w:szCs w:val="24"/>
        </w:rPr>
        <w:t xml:space="preserve">, visiting the East Kalimantan Provincial Education Office to identify schools and teachers who would be designated as respondents and participants; </w:t>
      </w:r>
      <w:r>
        <w:rPr>
          <w:rFonts w:ascii="Times New Roman" w:eastAsia="Times New Roman" w:hAnsi="Times New Roman" w:cs="Times New Roman"/>
          <w:b/>
          <w:sz w:val="24"/>
          <w:szCs w:val="24"/>
        </w:rPr>
        <w:t xml:space="preserve">Second, </w:t>
      </w:r>
      <w:r>
        <w:rPr>
          <w:rFonts w:ascii="Times New Roman" w:eastAsia="Times New Roman" w:hAnsi="Times New Roman" w:cs="Times New Roman"/>
          <w:sz w:val="24"/>
          <w:szCs w:val="24"/>
        </w:rPr>
        <w:t xml:space="preserve">each teacher gave a questionnaire in the form of a </w:t>
      </w:r>
      <w:proofErr w:type="spellStart"/>
      <w:r>
        <w:rPr>
          <w:rFonts w:ascii="Times New Roman" w:eastAsia="Times New Roman" w:hAnsi="Times New Roman" w:cs="Times New Roman"/>
          <w:sz w:val="24"/>
          <w:szCs w:val="24"/>
        </w:rPr>
        <w:t>google</w:t>
      </w:r>
      <w:proofErr w:type="spellEnd"/>
      <w:r>
        <w:rPr>
          <w:rFonts w:ascii="Times New Roman" w:eastAsia="Times New Roman" w:hAnsi="Times New Roman" w:cs="Times New Roman"/>
          <w:sz w:val="24"/>
          <w:szCs w:val="24"/>
        </w:rPr>
        <w:t xml:space="preserve"> form to fill in the willingness to become a respondent and a participant who would be interviewed as many as 6 teachers through an online system: Zoom or Video Call and the rest to fill out the questionnaire as an unlimited number of participants, the more it strengthened the interview data; </w:t>
      </w:r>
      <w:r>
        <w:rPr>
          <w:rFonts w:ascii="Times New Roman" w:eastAsia="Times New Roman" w:hAnsi="Times New Roman" w:cs="Times New Roman"/>
          <w:b/>
          <w:sz w:val="24"/>
          <w:szCs w:val="24"/>
        </w:rPr>
        <w:t>Third</w:t>
      </w:r>
      <w:r>
        <w:rPr>
          <w:rFonts w:ascii="Times New Roman" w:eastAsia="Times New Roman" w:hAnsi="Times New Roman" w:cs="Times New Roman"/>
          <w:sz w:val="24"/>
          <w:szCs w:val="24"/>
        </w:rPr>
        <w:t>, carried out without coercion;</w:t>
      </w:r>
      <w:r>
        <w:rPr>
          <w:rFonts w:ascii="Times New Roman" w:eastAsia="Times New Roman" w:hAnsi="Times New Roman" w:cs="Times New Roman"/>
          <w:b/>
          <w:sz w:val="24"/>
          <w:szCs w:val="24"/>
        </w:rPr>
        <w:t xml:space="preserve"> Fourth</w:t>
      </w:r>
      <w:r>
        <w:rPr>
          <w:rFonts w:ascii="Times New Roman" w:eastAsia="Times New Roman" w:hAnsi="Times New Roman" w:cs="Times New Roman"/>
          <w:sz w:val="24"/>
          <w:szCs w:val="24"/>
        </w:rPr>
        <w:t xml:space="preserve">, for those who are willing to be followed </w:t>
      </w:r>
      <w:r>
        <w:rPr>
          <w:rFonts w:ascii="Times New Roman" w:eastAsia="Times New Roman" w:hAnsi="Times New Roman" w:cs="Times New Roman"/>
          <w:sz w:val="24"/>
          <w:szCs w:val="24"/>
        </w:rPr>
        <w:lastRenderedPageBreak/>
        <w:t xml:space="preserve">up,  </w:t>
      </w:r>
      <w:r>
        <w:rPr>
          <w:rFonts w:ascii="Times New Roman" w:eastAsia="Times New Roman" w:hAnsi="Times New Roman" w:cs="Times New Roman"/>
          <w:b/>
          <w:sz w:val="24"/>
          <w:szCs w:val="24"/>
        </w:rPr>
        <w:t>Fifth</w:t>
      </w:r>
      <w:r>
        <w:rPr>
          <w:rFonts w:ascii="Times New Roman" w:eastAsia="Times New Roman" w:hAnsi="Times New Roman" w:cs="Times New Roman"/>
          <w:sz w:val="24"/>
          <w:szCs w:val="24"/>
        </w:rPr>
        <w:t xml:space="preserve">, teachers who are willing to be respondents and participants will be given online training through workshops or webinars on becoming a professional teacher in the Covid-19 Pandemic Period. </w:t>
      </w:r>
      <w:proofErr w:type="gramStart"/>
      <w:r>
        <w:rPr>
          <w:rFonts w:ascii="Times New Roman" w:eastAsia="Times New Roman" w:hAnsi="Times New Roman" w:cs="Times New Roman"/>
          <w:sz w:val="24"/>
          <w:szCs w:val="24"/>
        </w:rPr>
        <w:t>The final stage of data collection, distributing questionnaires to measure the level of ability, motivation of teachers to prepare themselves to become professionals.</w:t>
      </w:r>
      <w:proofErr w:type="gramEnd"/>
      <w:r>
        <w:rPr>
          <w:rFonts w:ascii="Times New Roman" w:eastAsia="Times New Roman" w:hAnsi="Times New Roman" w:cs="Times New Roman"/>
          <w:sz w:val="24"/>
          <w:szCs w:val="24"/>
        </w:rPr>
        <w:t xml:space="preserve"> The research will be conducted in August-October 2021. Triangulation</w:t>
      </w:r>
    </w:p>
    <w:p w:rsidR="000008C7" w:rsidRDefault="00A53CF2">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data</w:t>
      </w:r>
      <w:proofErr w:type="gramEnd"/>
      <w:r>
        <w:rPr>
          <w:rFonts w:ascii="Times New Roman" w:eastAsia="Times New Roman" w:hAnsi="Times New Roman" w:cs="Times New Roman"/>
          <w:sz w:val="24"/>
          <w:szCs w:val="24"/>
        </w:rPr>
        <w:t xml:space="preserve"> is carried out for data collection that combines data from various data collection techniques and existing data sources. In this triangulation method, researchers</w:t>
      </w:r>
      <w:bookmarkStart w:id="2" w:name="_GoBack"/>
      <w:bookmarkEnd w:id="2"/>
      <w:r>
        <w:rPr>
          <w:rFonts w:ascii="Times New Roman" w:eastAsia="Times New Roman" w:hAnsi="Times New Roman" w:cs="Times New Roman"/>
          <w:sz w:val="24"/>
          <w:szCs w:val="24"/>
        </w:rPr>
        <w:t xml:space="preserve"> collect data and at the same time test the credibility of the data, namely checking the credibility of the data with various data collection techniques and various data sources. Data analysis was done by collecting data and then predicting and then displaying it and then drawing conclusions according to (Miles &amp; </w:t>
      </w:r>
      <w:proofErr w:type="spellStart"/>
      <w:r>
        <w:rPr>
          <w:rFonts w:ascii="Times New Roman" w:eastAsia="Times New Roman" w:hAnsi="Times New Roman" w:cs="Times New Roman"/>
          <w:sz w:val="24"/>
          <w:szCs w:val="24"/>
        </w:rPr>
        <w:t>Huberman</w:t>
      </w:r>
      <w:proofErr w:type="spellEnd"/>
      <w:r>
        <w:rPr>
          <w:rFonts w:ascii="Times New Roman" w:eastAsia="Times New Roman" w:hAnsi="Times New Roman" w:cs="Times New Roman"/>
          <w:sz w:val="24"/>
          <w:szCs w:val="24"/>
        </w:rPr>
        <w:t>, 1994).</w:t>
      </w:r>
    </w:p>
    <w:p w:rsidR="000008C7" w:rsidRDefault="00A53CF2">
      <w:pPr>
        <w:pStyle w:val="Heading2"/>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0008C7" w:rsidRDefault="00A53CF2">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i/>
          <w:sz w:val="24"/>
          <w:szCs w:val="24"/>
        </w:rPr>
        <w:t>self-efficacy</w:t>
      </w:r>
      <w:proofErr w:type="gramEnd"/>
      <w:r>
        <w:rPr>
          <w:rFonts w:ascii="Times New Roman" w:eastAsia="Times New Roman" w:hAnsi="Times New Roman" w:cs="Times New Roman"/>
          <w:i/>
          <w:sz w:val="24"/>
          <w:szCs w:val="24"/>
        </w:rPr>
        <w:t xml:space="preserve"> 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Teachervery</w:t>
      </w:r>
      <w:proofErr w:type="spellEnd"/>
      <w:r>
        <w:rPr>
          <w:rFonts w:ascii="Times New Roman" w:eastAsia="Times New Roman" w:hAnsi="Times New Roman" w:cs="Times New Roman"/>
          <w:sz w:val="24"/>
          <w:szCs w:val="24"/>
        </w:rPr>
        <w:t xml:space="preserve"> important to support the realization of increasing teacher professionalism. As Bandura, (1982) states that with </w:t>
      </w:r>
      <w:r>
        <w:rPr>
          <w:rFonts w:ascii="Times New Roman" w:eastAsia="Times New Roman" w:hAnsi="Times New Roman" w:cs="Times New Roman"/>
          <w:i/>
          <w:sz w:val="24"/>
          <w:szCs w:val="24"/>
        </w:rPr>
        <w:t>self-efficacy</w:t>
      </w:r>
      <w:r>
        <w:rPr>
          <w:rFonts w:ascii="Times New Roman" w:eastAsia="Times New Roman" w:hAnsi="Times New Roman" w:cs="Times New Roman"/>
          <w:sz w:val="24"/>
          <w:szCs w:val="24"/>
        </w:rPr>
        <w:t xml:space="preserve"> teachers the teachers belie</w:t>
      </w:r>
      <w:r w:rsidR="00AE0374">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in </w:t>
      </w:r>
      <w:r w:rsidR="00AE0374">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ability to carry out aspects of planning, organizing</w:t>
      </w:r>
      <w:r w:rsidR="00AE03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active teacher action to realize educational goals.</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Bandura also stated that </w:t>
      </w:r>
      <w:r>
        <w:rPr>
          <w:rFonts w:ascii="Times New Roman" w:eastAsia="Times New Roman" w:hAnsi="Times New Roman" w:cs="Times New Roman"/>
          <w:i/>
          <w:sz w:val="24"/>
          <w:szCs w:val="24"/>
        </w:rPr>
        <w:t>self-efficacy is</w:t>
      </w:r>
      <w:r w:rsidR="00AE037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namely </w:t>
      </w:r>
      <w:r>
        <w:rPr>
          <w:rFonts w:ascii="Times New Roman" w:eastAsia="Times New Roman" w:hAnsi="Times New Roman" w:cs="Times New Roman"/>
          <w:sz w:val="24"/>
          <w:szCs w:val="24"/>
        </w:rPr>
        <w:t>strongly influenced by the</w:t>
      </w:r>
      <w:r w:rsidR="00AE03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factor, </w:t>
      </w:r>
      <w:r>
        <w:rPr>
          <w:rFonts w:ascii="Times New Roman" w:eastAsia="Times New Roman" w:hAnsi="Times New Roman" w:cs="Times New Roman"/>
          <w:i/>
          <w:sz w:val="24"/>
          <w:szCs w:val="24"/>
        </w:rPr>
        <w:t>magnitude</w:t>
      </w:r>
      <w:r>
        <w:rPr>
          <w:rFonts w:ascii="Times New Roman" w:eastAsia="Times New Roman" w:hAnsi="Times New Roman" w:cs="Times New Roman"/>
          <w:sz w:val="24"/>
          <w:szCs w:val="24"/>
        </w:rPr>
        <w:t xml:space="preserve"> actions taken by the teacher. The</w:t>
      </w:r>
      <w:r w:rsidR="00AE03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factor </w:t>
      </w:r>
      <w:r>
        <w:rPr>
          <w:rFonts w:ascii="Times New Roman" w:eastAsia="Times New Roman" w:hAnsi="Times New Roman" w:cs="Times New Roman"/>
          <w:i/>
          <w:sz w:val="24"/>
          <w:szCs w:val="24"/>
        </w:rPr>
        <w:t>strength</w:t>
      </w:r>
      <w:r>
        <w:rPr>
          <w:rFonts w:ascii="Times New Roman" w:eastAsia="Times New Roman" w:hAnsi="Times New Roman" w:cs="Times New Roman"/>
          <w:sz w:val="24"/>
          <w:szCs w:val="24"/>
        </w:rPr>
        <w:t xml:space="preserve"> refers to the expectations created by the teacher. The generality factor is the teacher's behavior (Bandura, 1991). </w:t>
      </w:r>
    </w:p>
    <w:p w:rsidR="000008C7" w:rsidRDefault="00A53C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bad experience of a teacher is not aware of having a self-efficacy attitude, namely belief in his ability to generate and improve his competence in a better direction (</w:t>
      </w:r>
      <w:proofErr w:type="spellStart"/>
      <w:r>
        <w:rPr>
          <w:rFonts w:ascii="Times New Roman" w:eastAsia="Times New Roman" w:hAnsi="Times New Roman" w:cs="Times New Roman"/>
          <w:sz w:val="24"/>
          <w:szCs w:val="24"/>
        </w:rPr>
        <w:t>Bafadal</w:t>
      </w:r>
      <w:proofErr w:type="spellEnd"/>
      <w:r>
        <w:rPr>
          <w:rFonts w:ascii="Times New Roman" w:eastAsia="Times New Roman" w:hAnsi="Times New Roman" w:cs="Times New Roman"/>
          <w:sz w:val="24"/>
          <w:szCs w:val="24"/>
        </w:rPr>
        <w:t xml:space="preserve"> et al., 2019). </w:t>
      </w:r>
      <w:proofErr w:type="gramStart"/>
      <w:r>
        <w:rPr>
          <w:rFonts w:ascii="Times New Roman" w:eastAsia="Times New Roman" w:hAnsi="Times New Roman" w:cs="Times New Roman"/>
          <w:i/>
          <w:sz w:val="24"/>
          <w:szCs w:val="24"/>
        </w:rPr>
        <w:t>self-efficacy</w:t>
      </w:r>
      <w:proofErr w:type="gramEnd"/>
      <w:r>
        <w:rPr>
          <w:rFonts w:ascii="Times New Roman" w:eastAsia="Times New Roman" w:hAnsi="Times New Roman" w:cs="Times New Roman"/>
          <w:i/>
          <w:sz w:val="24"/>
          <w:szCs w:val="24"/>
        </w:rPr>
        <w:t xml:space="preserve"> 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Teacherbelieved</w:t>
      </w:r>
      <w:proofErr w:type="spellEnd"/>
      <w:r>
        <w:rPr>
          <w:rFonts w:ascii="Times New Roman" w:eastAsia="Times New Roman" w:hAnsi="Times New Roman" w:cs="Times New Roman"/>
          <w:sz w:val="24"/>
          <w:szCs w:val="24"/>
        </w:rPr>
        <w:t xml:space="preserve"> to be able to influence teachers in carrying out their duties and responsibilities, increase their competence, provide a lively and interactive learning atmosphere, increase students' motivation and interest in learning (Warner &amp; </w:t>
      </w:r>
      <w:proofErr w:type="spellStart"/>
      <w:r>
        <w:rPr>
          <w:rFonts w:ascii="Times New Roman" w:eastAsia="Times New Roman" w:hAnsi="Times New Roman" w:cs="Times New Roman"/>
          <w:sz w:val="24"/>
          <w:szCs w:val="24"/>
        </w:rPr>
        <w:t>Kaur</w:t>
      </w:r>
      <w:proofErr w:type="spellEnd"/>
      <w:r>
        <w:rPr>
          <w:rFonts w:ascii="Times New Roman" w:eastAsia="Times New Roman" w:hAnsi="Times New Roman" w:cs="Times New Roman"/>
          <w:sz w:val="24"/>
          <w:szCs w:val="24"/>
        </w:rPr>
        <w:t>, 2017). Efficacy plays a very big role in teacher motivation and performance (</w:t>
      </w:r>
      <w:proofErr w:type="spellStart"/>
      <w:r>
        <w:rPr>
          <w:rFonts w:ascii="Times New Roman" w:eastAsia="Times New Roman" w:hAnsi="Times New Roman" w:cs="Times New Roman"/>
          <w:sz w:val="24"/>
          <w:szCs w:val="24"/>
        </w:rPr>
        <w:t>Cherniss</w:t>
      </w:r>
      <w:proofErr w:type="spellEnd"/>
      <w:r>
        <w:rPr>
          <w:rFonts w:ascii="Times New Roman" w:eastAsia="Times New Roman" w:hAnsi="Times New Roman" w:cs="Times New Roman"/>
          <w:sz w:val="24"/>
          <w:szCs w:val="24"/>
        </w:rPr>
        <w:t xml:space="preserve">, 2017). Furthermore (Kim &amp; </w:t>
      </w:r>
      <w:proofErr w:type="spellStart"/>
      <w:r>
        <w:rPr>
          <w:rFonts w:ascii="Times New Roman" w:eastAsia="Times New Roman" w:hAnsi="Times New Roman" w:cs="Times New Roman"/>
          <w:sz w:val="24"/>
          <w:szCs w:val="24"/>
        </w:rPr>
        <w:t>Beehr</w:t>
      </w:r>
      <w:proofErr w:type="spellEnd"/>
      <w:r>
        <w:rPr>
          <w:rFonts w:ascii="Times New Roman" w:eastAsia="Times New Roman" w:hAnsi="Times New Roman" w:cs="Times New Roman"/>
          <w:sz w:val="24"/>
          <w:szCs w:val="24"/>
        </w:rPr>
        <w:t>, 2017) mentions that self-efficacy will encourage the various potentials possessed by individuals to become better.</w:t>
      </w:r>
    </w:p>
    <w:p w:rsidR="000008C7" w:rsidRDefault="000008C7">
      <w:pPr>
        <w:spacing w:after="0" w:line="240" w:lineRule="auto"/>
        <w:jc w:val="both"/>
        <w:rPr>
          <w:rFonts w:ascii="Times New Roman" w:eastAsia="Times New Roman" w:hAnsi="Times New Roman" w:cs="Times New Roman"/>
          <w:sz w:val="24"/>
          <w:szCs w:val="24"/>
        </w:rPr>
      </w:pPr>
    </w:p>
    <w:p w:rsidR="000008C7" w:rsidRDefault="00A53C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self-confidence refers to what they believe about themselves. Unbalanced self-efficacy affects production power. A teacher with low self-efficacy is at risk for carrying out a profession that lies at the bottom of his real skill level. He has the intention that if he can only be in a profession that lies at that level, and feels unsure about developing a profession with greater seriousness. (Park et al., 2019) various ways are used by teachers to remain professional in devoting themselves. In addition, (</w:t>
      </w:r>
      <w:proofErr w:type="spellStart"/>
      <w:r>
        <w:rPr>
          <w:rFonts w:ascii="Times New Roman" w:eastAsia="Times New Roman" w:hAnsi="Times New Roman" w:cs="Times New Roman"/>
          <w:sz w:val="24"/>
          <w:szCs w:val="24"/>
        </w:rPr>
        <w:t>Sciarappa</w:t>
      </w:r>
      <w:proofErr w:type="spellEnd"/>
      <w:r>
        <w:rPr>
          <w:rFonts w:ascii="Times New Roman" w:eastAsia="Times New Roman" w:hAnsi="Times New Roman" w:cs="Times New Roman"/>
          <w:sz w:val="24"/>
          <w:szCs w:val="24"/>
        </w:rPr>
        <w:t xml:space="preserve"> &amp; Mason, 2014) policies to improve the quality of human resources in junior high schools continue to be pursued to continue to improve teacher competence and professionalism through strengthening self-efficacy to comply with standards set by the government, towards the era of competition.</w:t>
      </w:r>
    </w:p>
    <w:p w:rsidR="000008C7" w:rsidRDefault="00A53CF2">
      <w:pPr>
        <w:pStyle w:val="Heading1"/>
        <w:numPr>
          <w:ilvl w:val="0"/>
          <w:numId w:val="1"/>
        </w:numPr>
        <w:tabs>
          <w:tab w:val="left" w:pos="855"/>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Results and Discussion</w:t>
      </w:r>
    </w:p>
    <w:p w:rsidR="000008C7" w:rsidRDefault="00A53CF2">
      <w:pPr>
        <w:jc w:val="both"/>
        <w:rPr>
          <w:rFonts w:ascii="Times New Roman" w:eastAsia="Times New Roman" w:hAnsi="Times New Roman" w:cs="Times New Roman"/>
          <w:color w:val="C00000"/>
          <w:sz w:val="24"/>
          <w:szCs w:val="24"/>
        </w:rPr>
      </w:pPr>
      <w:proofErr w:type="gramStart"/>
      <w:r>
        <w:rPr>
          <w:rFonts w:ascii="Times New Roman" w:eastAsia="Times New Roman" w:hAnsi="Times New Roman" w:cs="Times New Roman"/>
          <w:sz w:val="24"/>
          <w:szCs w:val="24"/>
        </w:rPr>
        <w:t xml:space="preserve">The low </w:t>
      </w:r>
      <w:r>
        <w:rPr>
          <w:rFonts w:ascii="Times New Roman" w:eastAsia="Times New Roman" w:hAnsi="Times New Roman" w:cs="Times New Roman"/>
          <w:i/>
          <w:sz w:val="24"/>
          <w:szCs w:val="24"/>
        </w:rPr>
        <w:t>self-efficacy of</w:t>
      </w:r>
      <w:r>
        <w:rPr>
          <w:rFonts w:ascii="Times New Roman" w:eastAsia="Times New Roman" w:hAnsi="Times New Roman" w:cs="Times New Roman"/>
          <w:sz w:val="24"/>
          <w:szCs w:val="24"/>
        </w:rPr>
        <w:t xml:space="preserve"> teachers in carrying out their duties to always develop themselves as professional teachers, so that efforts to achieve teacher professionalism are still lacking</w:t>
      </w:r>
      <w:r>
        <w:rPr>
          <w:rFonts w:ascii="Times New Roman" w:eastAsia="Times New Roman" w:hAnsi="Times New Roman" w:cs="Times New Roman"/>
          <w:color w:val="C00000"/>
          <w:sz w:val="24"/>
          <w:szCs w:val="24"/>
        </w:rPr>
        <w:t>.</w:t>
      </w:r>
      <w:proofErr w:type="gramEnd"/>
      <w:r>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sz w:val="24"/>
          <w:szCs w:val="24"/>
        </w:rPr>
        <w:t>From the results of interviews, it was found that 29% of teachers had difficulties in developing professionalism due to limited online learning facilities during the COVID-19 pandemic. In general, students have limited data packages, gadget facilities</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network support which are often problematic for students so that they also have an impact on teachers. On the one hand, the teacher has the desire to realize himself as a professional teacher because the undergraduate requirements have been met. Various obstacles </w:t>
      </w:r>
      <w:r w:rsidR="009B3B43">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 xml:space="preserve">faced by teachers in professional development during the pandemic. However, it is necessary to consider Bandura's theory which states that </w:t>
      </w:r>
      <w:r>
        <w:rPr>
          <w:rFonts w:ascii="Times New Roman" w:eastAsia="Times New Roman" w:hAnsi="Times New Roman" w:cs="Times New Roman"/>
          <w:i/>
          <w:sz w:val="24"/>
          <w:szCs w:val="24"/>
        </w:rPr>
        <w:t>self-efficacy</w:t>
      </w:r>
      <w:r>
        <w:rPr>
          <w:rFonts w:ascii="Times New Roman" w:eastAsia="Times New Roman" w:hAnsi="Times New Roman" w:cs="Times New Roman"/>
          <w:sz w:val="24"/>
          <w:szCs w:val="24"/>
        </w:rPr>
        <w:t xml:space="preserve"> teachers the teacher's belief in his own ability to carry out aspects of planning, organizing</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active teacher action to realize educational goals.</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have not passed certification as a symbol of professionalism, so the steps taken are trying to become professional. . In general, all respondents have had an S1 or D4 education level and some are even 50 years old and above with a minimum service period of 20 years, but there are 36% of teachers who have not been certified as respondents in this study. Certification programs for teachers can be pursued through competency tests in the form of portfolio assessments and teacher professional education. For teachers who pass the competency test through portfolio assessment, immediately get an educator certificate, while for those who have not passed, they are required to take teacher professional education and training (PLPG) which ends with a competency test. </w:t>
      </w:r>
    </w:p>
    <w:p w:rsidR="000008C7" w:rsidRDefault="00A53CF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who pass the competency test are given an educator certificate and those who have not passed are </w:t>
      </w:r>
      <w:r w:rsidR="009B3B43">
        <w:rPr>
          <w:rFonts w:ascii="Times New Roman" w:eastAsia="Times New Roman" w:hAnsi="Times New Roman" w:cs="Times New Roman"/>
          <w:sz w:val="24"/>
          <w:szCs w:val="24"/>
        </w:rPr>
        <w:t>allowed</w:t>
      </w:r>
      <w:r>
        <w:rPr>
          <w:rFonts w:ascii="Times New Roman" w:eastAsia="Times New Roman" w:hAnsi="Times New Roman" w:cs="Times New Roman"/>
          <w:sz w:val="24"/>
          <w:szCs w:val="24"/>
        </w:rPr>
        <w:t xml:space="preserve"> to take the re-examination twice. In addition, </w:t>
      </w:r>
      <w:r w:rsidR="009B3B43">
        <w:rPr>
          <w:rFonts w:ascii="Times New Roman" w:eastAsia="Times New Roman" w:hAnsi="Times New Roman" w:cs="Times New Roman"/>
          <w:sz w:val="24"/>
          <w:szCs w:val="24"/>
        </w:rPr>
        <w:t>some teachers</w:t>
      </w:r>
      <w:r>
        <w:rPr>
          <w:rFonts w:ascii="Times New Roman" w:eastAsia="Times New Roman" w:hAnsi="Times New Roman" w:cs="Times New Roman"/>
          <w:sz w:val="24"/>
          <w:szCs w:val="24"/>
        </w:rPr>
        <w:t xml:space="preserve"> are exempt from the certification process and only verified documents, namely teachers who have an education level of S2 or S3 and are already in class IV/b and teachers who already have class IV/c directly obtain an educator certificate. (Kim &amp; </w:t>
      </w:r>
      <w:proofErr w:type="spellStart"/>
      <w:r>
        <w:rPr>
          <w:rFonts w:ascii="Times New Roman" w:eastAsia="Times New Roman" w:hAnsi="Times New Roman" w:cs="Times New Roman"/>
          <w:sz w:val="24"/>
          <w:szCs w:val="24"/>
        </w:rPr>
        <w:t>Beehr</w:t>
      </w:r>
      <w:proofErr w:type="spellEnd"/>
      <w:r>
        <w:rPr>
          <w:rFonts w:ascii="Times New Roman" w:eastAsia="Times New Roman" w:hAnsi="Times New Roman" w:cs="Times New Roman"/>
          <w:sz w:val="24"/>
          <w:szCs w:val="24"/>
        </w:rPr>
        <w:t>, 2017) mentions that self-efficacy will encourage the various potentials possessed by individuals to become better.</w:t>
      </w:r>
    </w:p>
    <w:p w:rsidR="000008C7" w:rsidRDefault="000008C7">
      <w:pPr>
        <w:spacing w:after="0" w:line="240" w:lineRule="auto"/>
        <w:jc w:val="both"/>
        <w:rPr>
          <w:rFonts w:ascii="Times New Roman" w:eastAsia="Times New Roman" w:hAnsi="Times New Roman" w:cs="Times New Roman"/>
          <w:sz w:val="24"/>
          <w:szCs w:val="24"/>
        </w:rPr>
      </w:pPr>
    </w:p>
    <w:p w:rsidR="000008C7" w:rsidRDefault="00A53CF2">
      <w:pPr>
        <w:jc w:val="both"/>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For teachers who already have an educator certificate as a symbol of professional teachers, they are entitled to a professional allowance of one time of basic salary. Besides that, educational components such as curriculum, students, infrastructure, methods</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learning media also play a role in supporting the success of education. While teachers who have been certified have not shown a significant increase in professionalism, the attitude of teachers in implementing the certification policy appears to be merely pursuing welfare, while teaching quality has received less attention. In order to develop teacher professionalism on an ongoing basis, it is necessary to know the real indicators of professional teachers. As (Park et al., 2019) stated that there are various ways that teachers do to remain professional in devoting themselves.</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Lack of teacher attention to discipline is even found in teachers who are late for school and also go home early. During the COVID-19 pandemic, schools have scheduled teachers</w:t>
      </w:r>
      <w:r w:rsidR="009B3B43">
        <w:rPr>
          <w:rFonts w:ascii="Times New Roman" w:eastAsia="Times New Roman" w:hAnsi="Times New Roman" w:cs="Times New Roman"/>
          <w:sz w:val="24"/>
          <w:szCs w:val="24"/>
        </w:rPr>
        <w:t>, in turn,</w:t>
      </w:r>
      <w:r>
        <w:rPr>
          <w:rFonts w:ascii="Times New Roman" w:eastAsia="Times New Roman" w:hAnsi="Times New Roman" w:cs="Times New Roman"/>
          <w:sz w:val="24"/>
          <w:szCs w:val="24"/>
        </w:rPr>
        <w:t xml:space="preserve"> every day to enforce government regulations regarding the spread of COVID-19. </w:t>
      </w:r>
      <w:proofErr w:type="gramStart"/>
      <w:r>
        <w:rPr>
          <w:rFonts w:ascii="Times New Roman" w:eastAsia="Times New Roman" w:hAnsi="Times New Roman" w:cs="Times New Roman"/>
          <w:sz w:val="24"/>
          <w:szCs w:val="24"/>
        </w:rPr>
        <w:t>When the teacher has a teaching schedule and at the same time as a picket schedule, online learning takes place at school.</w:t>
      </w:r>
      <w:proofErr w:type="gramEnd"/>
      <w:r>
        <w:rPr>
          <w:rFonts w:ascii="Times New Roman" w:eastAsia="Times New Roman" w:hAnsi="Times New Roman" w:cs="Times New Roman"/>
          <w:sz w:val="24"/>
          <w:szCs w:val="24"/>
        </w:rPr>
        <w:t xml:space="preserve"> Therefore, the school first facilitates facilities in the form of WIFI, laptops, Android</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PCs (personal computers) and ensures a strong network to support online learning.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emphasis on student discipline in online learning cannot be forced considering the many obstacles encountered in implementation. For example, when online learning is carried out, suddenly the network has problems, synchronous learning shifts asynchronously or teachers can use </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 xml:space="preserve"> in learning. Or it can be replaced by giving assignments with the intention that students continue to carry out learning independently at home. The application of discipline during the COVID-19 pandemic is situational.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found that there were teachers who did not implement online learning based on a predetermined schedule, but the teacher only gave assignments. Almost all respondents experienced the same condition. When the network conditions are problematic or there are complaints from participants that they run out of data packets. So the school opens the option by preparing a Student Worksheet (</w:t>
      </w:r>
      <w:r w:rsidR="00455C73">
        <w:rPr>
          <w:rFonts w:ascii="Times New Roman" w:eastAsia="Times New Roman" w:hAnsi="Times New Roman" w:cs="Times New Roman"/>
          <w:sz w:val="24"/>
          <w:szCs w:val="24"/>
        </w:rPr>
        <w:t>SW</w:t>
      </w:r>
      <w:r>
        <w:rPr>
          <w:rFonts w:ascii="Times New Roman" w:eastAsia="Times New Roman" w:hAnsi="Times New Roman" w:cs="Times New Roman"/>
          <w:sz w:val="24"/>
          <w:szCs w:val="24"/>
        </w:rPr>
        <w:t xml:space="preserve">) by the teacher concerned so that students can go to school, take the </w:t>
      </w:r>
      <w:r w:rsidR="00455C73">
        <w:rPr>
          <w:rFonts w:ascii="Times New Roman" w:eastAsia="Times New Roman" w:hAnsi="Times New Roman" w:cs="Times New Roman"/>
          <w:sz w:val="24"/>
          <w:szCs w:val="24"/>
        </w:rPr>
        <w:t>SW</w:t>
      </w:r>
      <w:r>
        <w:rPr>
          <w:rFonts w:ascii="Times New Roman" w:eastAsia="Times New Roman" w:hAnsi="Times New Roman" w:cs="Times New Roman"/>
          <w:sz w:val="24"/>
          <w:szCs w:val="24"/>
        </w:rPr>
        <w:t xml:space="preserve"> and return it offline based on a mutual agreement between students and teachers. </w:t>
      </w:r>
    </w:p>
    <w:p w:rsidR="000008C7" w:rsidRDefault="00455C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w:t>
      </w:r>
      <w:r w:rsidR="00A53CF2">
        <w:rPr>
          <w:rFonts w:ascii="Times New Roman" w:eastAsia="Times New Roman" w:hAnsi="Times New Roman" w:cs="Times New Roman"/>
          <w:sz w:val="24"/>
          <w:szCs w:val="24"/>
        </w:rPr>
        <w:t xml:space="preserve"> is a means to assist and facilitate teachers in teaching and learning activities so that effective interaction is formed between students and teachers. Besides that, it can also increase students' independent activities in learning and student learning achievements. The teacher in preparing the </w:t>
      </w:r>
      <w:r>
        <w:rPr>
          <w:rFonts w:ascii="Times New Roman" w:eastAsia="Times New Roman" w:hAnsi="Times New Roman" w:cs="Times New Roman"/>
          <w:sz w:val="24"/>
          <w:szCs w:val="24"/>
        </w:rPr>
        <w:t>SW</w:t>
      </w:r>
      <w:r w:rsidR="00A53CF2">
        <w:rPr>
          <w:rFonts w:ascii="Times New Roman" w:eastAsia="Times New Roman" w:hAnsi="Times New Roman" w:cs="Times New Roman"/>
          <w:sz w:val="24"/>
          <w:szCs w:val="24"/>
        </w:rPr>
        <w:t xml:space="preserve"> is part of the teacher's task as a facilitator. But of course</w:t>
      </w:r>
      <w:r w:rsidR="009B3B43">
        <w:rPr>
          <w:rFonts w:ascii="Times New Roman" w:eastAsia="Times New Roman" w:hAnsi="Times New Roman" w:cs="Times New Roman"/>
          <w:sz w:val="24"/>
          <w:szCs w:val="24"/>
        </w:rPr>
        <w:t>,</w:t>
      </w:r>
      <w:r w:rsidR="00A53CF2">
        <w:rPr>
          <w:rFonts w:ascii="Times New Roman" w:eastAsia="Times New Roman" w:hAnsi="Times New Roman" w:cs="Times New Roman"/>
          <w:sz w:val="24"/>
          <w:szCs w:val="24"/>
        </w:rPr>
        <w:t xml:space="preserve"> the teacher asks the </w:t>
      </w:r>
      <w:r>
        <w:rPr>
          <w:rFonts w:ascii="Times New Roman" w:eastAsia="Times New Roman" w:hAnsi="Times New Roman" w:cs="Times New Roman"/>
          <w:sz w:val="24"/>
          <w:szCs w:val="24"/>
        </w:rPr>
        <w:t>SW</w:t>
      </w:r>
      <w:r w:rsidR="00A53CF2">
        <w:rPr>
          <w:rFonts w:ascii="Times New Roman" w:eastAsia="Times New Roman" w:hAnsi="Times New Roman" w:cs="Times New Roman"/>
          <w:sz w:val="24"/>
          <w:szCs w:val="24"/>
        </w:rPr>
        <w:t xml:space="preserve"> to be adapted to the learning conditions that will be faced by students and teachers.</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90% of teachers think that through assignments such as </w:t>
      </w:r>
      <w:r w:rsidR="00455C73">
        <w:rPr>
          <w:rFonts w:ascii="Times New Roman" w:eastAsia="Times New Roman" w:hAnsi="Times New Roman" w:cs="Times New Roman"/>
          <w:sz w:val="24"/>
          <w:szCs w:val="24"/>
        </w:rPr>
        <w:t>SW</w:t>
      </w:r>
      <w:r>
        <w:rPr>
          <w:rFonts w:ascii="Times New Roman" w:eastAsia="Times New Roman" w:hAnsi="Times New Roman" w:cs="Times New Roman"/>
          <w:sz w:val="24"/>
          <w:szCs w:val="24"/>
        </w:rPr>
        <w:t xml:space="preserve"> students will benefit 1) making students more active in learning at home; 2) create independence and sincerity; 3) the character of responsibility is formed; 4) create closeness between children and parents because when students find difficulties, they will ask parents for directions; 5) have the initiative and ideas to want to learn</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6) create confidence in the teacher to always have a good feeling that the tasks given to students are done by themselves. </w:t>
      </w:r>
    </w:p>
    <w:p w:rsidR="000008C7" w:rsidRDefault="00A53CF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teacher's inability to master technology is due to limited infrastructure. Based on the results of interviews, data obtained that there are 60% of low teacher abilities in mastering technology in online learning during the COVOD-19 pandemic. Among them </w:t>
      </w:r>
      <w:r w:rsidR="009B3B43">
        <w:rPr>
          <w:rFonts w:ascii="Times New Roman" w:eastAsia="Times New Roman" w:hAnsi="Times New Roman" w:cs="Times New Roman"/>
          <w:sz w:val="24"/>
          <w:szCs w:val="24"/>
        </w:rPr>
        <w:t>some</w:t>
      </w:r>
      <w:r>
        <w:rPr>
          <w:rFonts w:ascii="Times New Roman" w:eastAsia="Times New Roman" w:hAnsi="Times New Roman" w:cs="Times New Roman"/>
          <w:sz w:val="24"/>
          <w:szCs w:val="24"/>
        </w:rPr>
        <w:t xml:space="preserve"> have never used a laptop, teaching by using the internet network. This situation causes the teacher to only provide references in the form of material and assignments. The obstacles faced by teachers are a negative impact of online learning even though it is euphoria for 21st</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century learning. </w:t>
      </w:r>
    </w:p>
    <w:p w:rsidR="00455C73" w:rsidRPr="00455C73" w:rsidRDefault="00A53CF2" w:rsidP="00455C73">
      <w:pPr>
        <w:pStyle w:val="Heading1"/>
        <w:numPr>
          <w:ilvl w:val="0"/>
          <w:numId w:val="1"/>
        </w:numPr>
        <w:ind w:left="0" w:firstLine="0"/>
        <w:jc w:val="both"/>
        <w:rPr>
          <w:rFonts w:ascii="Times New Roman" w:eastAsia="Times New Roman" w:hAnsi="Times New Roman" w:cs="Times New Roman"/>
          <w:b w:val="0"/>
          <w:sz w:val="24"/>
          <w:szCs w:val="24"/>
        </w:rPr>
      </w:pPr>
      <w:r w:rsidRPr="00455C73">
        <w:rPr>
          <w:rFonts w:ascii="Times New Roman" w:eastAsia="Times New Roman" w:hAnsi="Times New Roman" w:cs="Times New Roman"/>
          <w:sz w:val="24"/>
          <w:szCs w:val="24"/>
        </w:rPr>
        <w:lastRenderedPageBreak/>
        <w:t xml:space="preserve">Conclusions </w:t>
      </w:r>
      <w:bookmarkStart w:id="3" w:name="_3znysh7" w:colFirst="0" w:colLast="0"/>
      <w:bookmarkEnd w:id="3"/>
    </w:p>
    <w:p w:rsidR="000008C7" w:rsidRPr="00455C73" w:rsidRDefault="00455C73" w:rsidP="00D33BEE">
      <w:pPr>
        <w:pStyle w:val="Heading1"/>
        <w:ind w:left="0" w:firstLine="0"/>
        <w:jc w:val="both"/>
        <w:rPr>
          <w:rFonts w:ascii="Times New Roman" w:eastAsia="Times New Roman" w:hAnsi="Times New Roman" w:cs="Times New Roman"/>
          <w:sz w:val="24"/>
          <w:szCs w:val="24"/>
        </w:rPr>
      </w:pPr>
      <w:r w:rsidRPr="00455C73">
        <w:rPr>
          <w:rFonts w:ascii="Times New Roman" w:eastAsia="Times New Roman" w:hAnsi="Times New Roman" w:cs="Times New Roman"/>
          <w:b w:val="0"/>
          <w:sz w:val="24"/>
          <w:szCs w:val="24"/>
        </w:rPr>
        <w:t>The</w:t>
      </w:r>
      <w:r>
        <w:rPr>
          <w:rFonts w:ascii="Times New Roman" w:eastAsia="Times New Roman" w:hAnsi="Times New Roman" w:cs="Times New Roman"/>
          <w:b w:val="0"/>
          <w:sz w:val="24"/>
          <w:szCs w:val="24"/>
        </w:rPr>
        <w:t xml:space="preserve"> </w:t>
      </w:r>
      <w:r w:rsidR="00A53CF2" w:rsidRPr="00455C73">
        <w:rPr>
          <w:rFonts w:ascii="Times New Roman" w:eastAsia="Times New Roman" w:hAnsi="Times New Roman" w:cs="Times New Roman"/>
          <w:b w:val="0"/>
          <w:sz w:val="24"/>
          <w:szCs w:val="24"/>
        </w:rPr>
        <w:t xml:space="preserve">experience </w:t>
      </w:r>
      <w:r w:rsidR="00A53CF2" w:rsidRPr="00455C73">
        <w:rPr>
          <w:rFonts w:ascii="Times New Roman" w:eastAsia="Times New Roman" w:hAnsi="Times New Roman" w:cs="Times New Roman"/>
          <w:b w:val="0"/>
          <w:i/>
          <w:sz w:val="24"/>
          <w:szCs w:val="24"/>
        </w:rPr>
        <w:t>of</w:t>
      </w:r>
      <w:r w:rsidR="009B3B43">
        <w:rPr>
          <w:rFonts w:ascii="Times New Roman" w:eastAsia="Times New Roman" w:hAnsi="Times New Roman" w:cs="Times New Roman"/>
          <w:b w:val="0"/>
          <w:i/>
          <w:sz w:val="24"/>
          <w:szCs w:val="24"/>
        </w:rPr>
        <w:t xml:space="preserve"> </w:t>
      </w:r>
      <w:r w:rsidR="00A53CF2" w:rsidRPr="00455C73">
        <w:rPr>
          <w:rFonts w:ascii="Times New Roman" w:eastAsia="Times New Roman" w:hAnsi="Times New Roman" w:cs="Times New Roman"/>
          <w:b w:val="0"/>
          <w:i/>
          <w:sz w:val="24"/>
          <w:szCs w:val="24"/>
        </w:rPr>
        <w:t>self-efficacy</w:t>
      </w:r>
      <w:r w:rsidR="00A53CF2" w:rsidRPr="00455C73">
        <w:rPr>
          <w:rFonts w:ascii="Times New Roman" w:eastAsia="Times New Roman" w:hAnsi="Times New Roman" w:cs="Times New Roman"/>
          <w:b w:val="0"/>
          <w:sz w:val="24"/>
          <w:szCs w:val="24"/>
        </w:rPr>
        <w:t xml:space="preserve"> teacher</w:t>
      </w:r>
      <w:r w:rsidR="009B3B43">
        <w:rPr>
          <w:rFonts w:ascii="Times New Roman" w:eastAsia="Times New Roman" w:hAnsi="Times New Roman" w:cs="Times New Roman"/>
          <w:b w:val="0"/>
          <w:sz w:val="24"/>
          <w:szCs w:val="24"/>
        </w:rPr>
        <w:t xml:space="preserve">s </w:t>
      </w:r>
      <w:r w:rsidR="00A53CF2" w:rsidRPr="00455C73">
        <w:rPr>
          <w:rFonts w:ascii="Times New Roman" w:eastAsia="Times New Roman" w:hAnsi="Times New Roman" w:cs="Times New Roman"/>
          <w:b w:val="0"/>
          <w:sz w:val="24"/>
          <w:szCs w:val="24"/>
        </w:rPr>
        <w:t>to remain professional is still doubtful and even causes stress, because teachers are increasingly busy and work hard to prepare and ensure effective learning. The practical implication is that the results of future research can be tested by teachers in high school.</w:t>
      </w:r>
    </w:p>
    <w:p w:rsidR="000008C7" w:rsidRDefault="00A53CF2" w:rsidP="00455C73">
      <w:pPr>
        <w:keepNext/>
        <w:pBdr>
          <w:top w:val="nil"/>
          <w:left w:val="nil"/>
          <w:bottom w:val="nil"/>
          <w:right w:val="nil"/>
          <w:between w:val="nil"/>
        </w:pBdr>
        <w:tabs>
          <w:tab w:val="left" w:pos="567"/>
          <w:tab w:val="center" w:pos="4535"/>
        </w:tabs>
        <w:spacing w:before="520" w:after="260" w:line="260" w:lineRule="auto"/>
        <w:ind w:left="567" w:hanging="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ACKNO</w:t>
      </w:r>
      <w:r w:rsidR="009B3B43">
        <w:rPr>
          <w:rFonts w:ascii="Times New Roman" w:eastAsia="Times New Roman" w:hAnsi="Times New Roman" w:cs="Times New Roman"/>
          <w:b/>
          <w:color w:val="000000"/>
          <w:sz w:val="24"/>
          <w:szCs w:val="24"/>
        </w:rPr>
        <w:t>WLEDG</w:t>
      </w:r>
      <w:r>
        <w:rPr>
          <w:rFonts w:ascii="Times New Roman" w:eastAsia="Times New Roman" w:hAnsi="Times New Roman" w:cs="Times New Roman"/>
          <w:b/>
          <w:color w:val="000000"/>
          <w:sz w:val="24"/>
          <w:szCs w:val="24"/>
        </w:rPr>
        <w:t xml:space="preserve">MENT </w:t>
      </w:r>
      <w:r w:rsidR="00455C73">
        <w:rPr>
          <w:rFonts w:ascii="Times New Roman" w:eastAsia="Times New Roman" w:hAnsi="Times New Roman" w:cs="Times New Roman"/>
          <w:b/>
          <w:color w:val="000000"/>
          <w:sz w:val="24"/>
          <w:szCs w:val="24"/>
        </w:rPr>
        <w:tab/>
      </w:r>
    </w:p>
    <w:p w:rsidR="000008C7" w:rsidRDefault="00A53CF2" w:rsidP="00D33BEE">
      <w:pPr>
        <w:pBdr>
          <w:top w:val="nil"/>
          <w:left w:val="nil"/>
          <w:bottom w:val="nil"/>
          <w:right w:val="nil"/>
          <w:between w:val="nil"/>
        </w:pBdr>
        <w:spacing w:after="120" w:line="2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We and the research team would like to thank the </w:t>
      </w:r>
      <w:r w:rsidR="00D33BEE" w:rsidRPr="00D33BEE">
        <w:rPr>
          <w:rFonts w:ascii="Times New Roman" w:eastAsia="Times New Roman" w:hAnsi="Times New Roman" w:cs="Times New Roman"/>
          <w:color w:val="000000"/>
          <w:sz w:val="24"/>
          <w:szCs w:val="24"/>
        </w:rPr>
        <w:t>Islamic Development Bank (</w:t>
      </w:r>
      <w:proofErr w:type="spellStart"/>
      <w:r w:rsidR="00D33BEE" w:rsidRPr="00D33BEE">
        <w:rPr>
          <w:rFonts w:ascii="Times New Roman" w:eastAsia="Times New Roman" w:hAnsi="Times New Roman" w:cs="Times New Roman"/>
          <w:color w:val="000000"/>
          <w:sz w:val="24"/>
          <w:szCs w:val="24"/>
        </w:rPr>
        <w:t>IsDB</w:t>
      </w:r>
      <w:proofErr w:type="spellEnd"/>
      <w:r w:rsidR="00D33BEE" w:rsidRPr="00D33BEE">
        <w:rPr>
          <w:rFonts w:ascii="Times New Roman" w:eastAsia="Times New Roman" w:hAnsi="Times New Roman" w:cs="Times New Roman"/>
          <w:color w:val="000000"/>
          <w:sz w:val="24"/>
          <w:szCs w:val="24"/>
        </w:rPr>
        <w:t>)</w:t>
      </w:r>
      <w:r w:rsidR="00D33BEE">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Mulawarman</w:t>
      </w:r>
      <w:proofErr w:type="spellEnd"/>
      <w:r>
        <w:rPr>
          <w:rFonts w:ascii="Times New Roman" w:eastAsia="Times New Roman" w:hAnsi="Times New Roman" w:cs="Times New Roman"/>
          <w:color w:val="000000"/>
          <w:sz w:val="24"/>
          <w:szCs w:val="24"/>
          <w:highlight w:val="white"/>
        </w:rPr>
        <w:t xml:space="preserve"> University for </w:t>
      </w:r>
      <w:r w:rsidR="00D33BEE">
        <w:rPr>
          <w:rFonts w:ascii="Times New Roman" w:eastAsia="Times New Roman" w:hAnsi="Times New Roman" w:cs="Times New Roman"/>
          <w:color w:val="000000"/>
          <w:sz w:val="24"/>
          <w:szCs w:val="24"/>
          <w:highlight w:val="white"/>
        </w:rPr>
        <w:t>facilitating this research fund</w:t>
      </w:r>
      <w:r w:rsidR="00D33BEE" w:rsidRPr="00D33BEE">
        <w:rPr>
          <w:rFonts w:ascii="Times New Roman" w:eastAsia="Times New Roman" w:hAnsi="Times New Roman" w:cs="Times New Roman"/>
          <w:color w:val="000000"/>
          <w:sz w:val="24"/>
          <w:szCs w:val="24"/>
        </w:rPr>
        <w:t xml:space="preserve"> </w:t>
      </w:r>
      <w:r w:rsidR="00D33BEE" w:rsidRPr="00D33BEE">
        <w:rPr>
          <w:rFonts w:ascii="Times New Roman" w:eastAsia="Times New Roman" w:hAnsi="Times New Roman" w:cs="Times New Roman"/>
          <w:color w:val="000000"/>
          <w:sz w:val="24"/>
          <w:szCs w:val="24"/>
        </w:rPr>
        <w:t>in 2021 [405/UN17.11/PL/2021]</w:t>
      </w:r>
    </w:p>
    <w:p w:rsidR="000008C7" w:rsidRDefault="00A53CF2">
      <w:pPr>
        <w:keepNext/>
        <w:pBdr>
          <w:top w:val="nil"/>
          <w:left w:val="nil"/>
          <w:bottom w:val="nil"/>
          <w:right w:val="nil"/>
          <w:between w:val="nil"/>
        </w:pBdr>
        <w:tabs>
          <w:tab w:val="left" w:pos="567"/>
        </w:tabs>
        <w:spacing w:before="520" w:after="260" w:line="260" w:lineRule="auto"/>
        <w:ind w:left="567" w:hanging="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REFERENCES</w:t>
      </w:r>
    </w:p>
    <w:p w:rsidR="000008C7" w:rsidRDefault="00A53CF2">
      <w:pPr>
        <w:widowControl w:val="0"/>
        <w:spacing w:after="120" w:line="240" w:lineRule="auto"/>
        <w:ind w:left="480" w:hanging="480"/>
        <w:rPr>
          <w:rFonts w:ascii="Times New Roman" w:eastAsia="Times New Roman" w:hAnsi="Times New Roman" w:cs="Times New Roman"/>
          <w:sz w:val="24"/>
          <w:szCs w:val="24"/>
        </w:rPr>
      </w:pPr>
      <w:bookmarkStart w:id="4" w:name="_2et92p0" w:colFirst="0" w:colLast="0"/>
      <w:bookmarkEnd w:id="4"/>
      <w:proofErr w:type="spellStart"/>
      <w:proofErr w:type="gramStart"/>
      <w:r>
        <w:rPr>
          <w:rFonts w:ascii="Times New Roman" w:eastAsia="Times New Roman" w:hAnsi="Times New Roman" w:cs="Times New Roman"/>
          <w:sz w:val="24"/>
          <w:szCs w:val="24"/>
        </w:rPr>
        <w:t>Bafadal</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Nurabadi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Sobri</w:t>
      </w:r>
      <w:proofErr w:type="spellEnd"/>
      <w:r>
        <w:rPr>
          <w:rFonts w:ascii="Times New Roman" w:eastAsia="Times New Roman" w:hAnsi="Times New Roman" w:cs="Times New Roman"/>
          <w:sz w:val="24"/>
          <w:szCs w:val="24"/>
        </w:rPr>
        <w:t xml:space="preserve">, AY, &amp; </w:t>
      </w:r>
      <w:proofErr w:type="spellStart"/>
      <w:r>
        <w:rPr>
          <w:rFonts w:ascii="Times New Roman" w:eastAsia="Times New Roman" w:hAnsi="Times New Roman" w:cs="Times New Roman"/>
          <w:sz w:val="24"/>
          <w:szCs w:val="24"/>
        </w:rPr>
        <w:t>Gunawan</w:t>
      </w:r>
      <w:proofErr w:type="spellEnd"/>
      <w:r>
        <w:rPr>
          <w:rFonts w:ascii="Times New Roman" w:eastAsia="Times New Roman" w:hAnsi="Times New Roman" w:cs="Times New Roman"/>
          <w:sz w:val="24"/>
          <w:szCs w:val="24"/>
        </w:rPr>
        <w:t>, I. (2019).</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The competence of beginner principals as instructional leaders in primary schools.</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International Journal of Innovation, Creativity</w:t>
      </w:r>
      <w:r w:rsidR="009B3B43">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and Change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w:t>
      </w:r>
      <w:r>
        <w:rPr>
          <w:rFonts w:ascii="Times New Roman" w:eastAsia="Times New Roman" w:hAnsi="Times New Roman" w:cs="Times New Roman"/>
          <w:sz w:val="24"/>
          <w:szCs w:val="24"/>
        </w:rPr>
        <w:t>(4), 625–639.</w:t>
      </w:r>
    </w:p>
    <w:p w:rsidR="000008C7" w:rsidRDefault="00A53CF2">
      <w:pPr>
        <w:widowControl w:val="0"/>
        <w:spacing w:after="120" w:line="24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Bandura, A. (1982). </w:t>
      </w:r>
      <w:proofErr w:type="gramStart"/>
      <w:r>
        <w:rPr>
          <w:rFonts w:ascii="Times New Roman" w:eastAsia="Times New Roman" w:hAnsi="Times New Roman" w:cs="Times New Roman"/>
          <w:i/>
          <w:sz w:val="24"/>
          <w:szCs w:val="24"/>
        </w:rPr>
        <w:t>Self-Efficacy Mechanism in Human Agency</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37</w:t>
      </w:r>
      <w:r>
        <w:rPr>
          <w:rFonts w:ascii="Times New Roman" w:eastAsia="Times New Roman" w:hAnsi="Times New Roman" w:cs="Times New Roman"/>
          <w:sz w:val="24"/>
          <w:szCs w:val="24"/>
        </w:rPr>
        <w:t>(2), 122–147.</w:t>
      </w:r>
    </w:p>
    <w:p w:rsidR="000008C7" w:rsidRDefault="00A53CF2">
      <w:pPr>
        <w:widowControl w:val="0"/>
        <w:spacing w:after="120" w:line="24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Bandura, A. (1991). </w:t>
      </w:r>
      <w:proofErr w:type="gramStart"/>
      <w:r>
        <w:rPr>
          <w:rFonts w:ascii="Times New Roman" w:eastAsia="Times New Roman" w:hAnsi="Times New Roman" w:cs="Times New Roman"/>
          <w:sz w:val="24"/>
          <w:szCs w:val="24"/>
        </w:rPr>
        <w:t>Social cognitive theory of self-regulation.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Organizational Behavior and Human Decision Processes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50</w:t>
      </w:r>
      <w:r>
        <w:rPr>
          <w:rFonts w:ascii="Times New Roman" w:eastAsia="Times New Roman" w:hAnsi="Times New Roman" w:cs="Times New Roman"/>
          <w:sz w:val="24"/>
          <w:szCs w:val="24"/>
        </w:rPr>
        <w:t>(2), 248–287. https://doi.org/10.1016/0749-</w:t>
      </w:r>
      <w:proofErr w:type="gramStart"/>
      <w:r>
        <w:rPr>
          <w:rFonts w:ascii="Times New Roman" w:eastAsia="Times New Roman" w:hAnsi="Times New Roman" w:cs="Times New Roman"/>
          <w:sz w:val="24"/>
          <w:szCs w:val="24"/>
        </w:rPr>
        <w:t>5978(</w:t>
      </w:r>
      <w:proofErr w:type="gramEnd"/>
      <w:r>
        <w:rPr>
          <w:rFonts w:ascii="Times New Roman" w:eastAsia="Times New Roman" w:hAnsi="Times New Roman" w:cs="Times New Roman"/>
          <w:sz w:val="24"/>
          <w:szCs w:val="24"/>
        </w:rPr>
        <w:t>91)90022-L</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Bento, SGTDNFLRSRBLA, Wing, KISC, &amp; Working.</w:t>
      </w:r>
      <w:proofErr w:type="gramEnd"/>
      <w:r>
        <w:rPr>
          <w:rFonts w:ascii="Times New Roman" w:eastAsia="Times New Roman" w:hAnsi="Times New Roman" w:cs="Times New Roman"/>
          <w:sz w:val="24"/>
          <w:szCs w:val="24"/>
        </w:rPr>
        <w:t xml:space="preserve"> (2020). </w:t>
      </w:r>
      <w:r>
        <w:rPr>
          <w:rFonts w:ascii="Times New Roman" w:eastAsia="Times New Roman" w:hAnsi="Times New Roman" w:cs="Times New Roman"/>
          <w:i/>
          <w:sz w:val="24"/>
          <w:szCs w:val="24"/>
        </w:rPr>
        <w:t xml:space="preserve">Tracking Public </w:t>
      </w:r>
      <w:proofErr w:type="gramStart"/>
      <w:r>
        <w:rPr>
          <w:rFonts w:ascii="Times New Roman" w:eastAsia="Times New Roman" w:hAnsi="Times New Roman" w:cs="Times New Roman"/>
          <w:i/>
          <w:sz w:val="24"/>
          <w:szCs w:val="24"/>
        </w:rPr>
        <w:t>And</w:t>
      </w:r>
      <w:proofErr w:type="gramEnd"/>
      <w:r>
        <w:rPr>
          <w:rFonts w:ascii="Times New Roman" w:eastAsia="Times New Roman" w:hAnsi="Times New Roman" w:cs="Times New Roman"/>
          <w:i/>
          <w:sz w:val="24"/>
          <w:szCs w:val="24"/>
        </w:rPr>
        <w:t xml:space="preserve"> Private Responses To The Covid-19 Epidemic: Evidence From State And Local Government Actions</w:t>
      </w:r>
      <w:r>
        <w:rPr>
          <w:rFonts w:ascii="Times New Roman" w:eastAsia="Times New Roman" w:hAnsi="Times New Roman" w:cs="Times New Roman"/>
          <w:sz w:val="24"/>
          <w:szCs w:val="24"/>
        </w:rPr>
        <w:t>.</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Cherniss</w:t>
      </w:r>
      <w:proofErr w:type="spellEnd"/>
      <w:r>
        <w:rPr>
          <w:rFonts w:ascii="Times New Roman" w:eastAsia="Times New Roman" w:hAnsi="Times New Roman" w:cs="Times New Roman"/>
          <w:sz w:val="24"/>
          <w:szCs w:val="24"/>
        </w:rPr>
        <w:t xml:space="preserve">, C. (2017). </w:t>
      </w:r>
      <w:proofErr w:type="gramStart"/>
      <w:r>
        <w:rPr>
          <w:rFonts w:ascii="Times New Roman" w:eastAsia="Times New Roman" w:hAnsi="Times New Roman" w:cs="Times New Roman"/>
          <w:sz w:val="24"/>
          <w:szCs w:val="24"/>
        </w:rPr>
        <w:t>Role of professional self-efficacy in the etiology and amelioration of burnout.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Professional burnout</w:t>
      </w:r>
      <w:r>
        <w:rPr>
          <w:rFonts w:ascii="Times New Roman" w:eastAsia="Times New Roman" w:hAnsi="Times New Roman" w:cs="Times New Roman"/>
          <w:sz w:val="24"/>
          <w:szCs w:val="24"/>
        </w:rPr>
        <w:t xml:space="preserve"> (pp. 135–149).</w:t>
      </w:r>
      <w:proofErr w:type="gram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Routledge</w:t>
      </w:r>
      <w:proofErr w:type="spellEnd"/>
      <w:r>
        <w:rPr>
          <w:rFonts w:ascii="Times New Roman" w:eastAsia="Times New Roman" w:hAnsi="Times New Roman" w:cs="Times New Roman"/>
          <w:sz w:val="24"/>
          <w:szCs w:val="24"/>
        </w:rPr>
        <w:t>.</w:t>
      </w:r>
      <w:proofErr w:type="gramEnd"/>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Copeland, WE, McGinnis, E., </w:t>
      </w:r>
      <w:proofErr w:type="spellStart"/>
      <w:r>
        <w:rPr>
          <w:rFonts w:ascii="Times New Roman" w:eastAsia="Times New Roman" w:hAnsi="Times New Roman" w:cs="Times New Roman"/>
          <w:sz w:val="24"/>
          <w:szCs w:val="24"/>
        </w:rPr>
        <w:t>Bai</w:t>
      </w:r>
      <w:proofErr w:type="spellEnd"/>
      <w:r>
        <w:rPr>
          <w:rFonts w:ascii="Times New Roman" w:eastAsia="Times New Roman" w:hAnsi="Times New Roman" w:cs="Times New Roman"/>
          <w:sz w:val="24"/>
          <w:szCs w:val="24"/>
        </w:rPr>
        <w:t xml:space="preserve">, Y., Adams, Z., </w:t>
      </w:r>
      <w:proofErr w:type="spellStart"/>
      <w:r>
        <w:rPr>
          <w:rFonts w:ascii="Times New Roman" w:eastAsia="Times New Roman" w:hAnsi="Times New Roman" w:cs="Times New Roman"/>
          <w:sz w:val="24"/>
          <w:szCs w:val="24"/>
        </w:rPr>
        <w:t>Nardone</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Devadanam</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Rettew</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Hudziak</w:t>
      </w:r>
      <w:proofErr w:type="spellEnd"/>
      <w:r>
        <w:rPr>
          <w:rFonts w:ascii="Times New Roman" w:eastAsia="Times New Roman" w:hAnsi="Times New Roman" w:cs="Times New Roman"/>
          <w:sz w:val="24"/>
          <w:szCs w:val="24"/>
        </w:rPr>
        <w:t>, JJ (2021).</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Impact of COVID-19 pandemic on college student mental health and wellness.</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the American Academy of Child &amp; Adolescent Psychiatry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60</w:t>
      </w:r>
      <w:r>
        <w:rPr>
          <w:rFonts w:ascii="Times New Roman" w:eastAsia="Times New Roman" w:hAnsi="Times New Roman" w:cs="Times New Roman"/>
          <w:sz w:val="24"/>
          <w:szCs w:val="24"/>
        </w:rPr>
        <w:t>(1), 134–141.</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Courtemanche</w:t>
      </w:r>
      <w:proofErr w:type="spellEnd"/>
      <w:r>
        <w:rPr>
          <w:rFonts w:ascii="Times New Roman" w:eastAsia="Times New Roman" w:hAnsi="Times New Roman" w:cs="Times New Roman"/>
          <w:sz w:val="24"/>
          <w:szCs w:val="24"/>
        </w:rPr>
        <w:t xml:space="preserve">, BC, </w:t>
      </w:r>
      <w:proofErr w:type="spellStart"/>
      <w:r>
        <w:rPr>
          <w:rFonts w:ascii="Times New Roman" w:eastAsia="Times New Roman" w:hAnsi="Times New Roman" w:cs="Times New Roman"/>
          <w:sz w:val="24"/>
          <w:szCs w:val="24"/>
        </w:rPr>
        <w:t>Garuccio</w:t>
      </w:r>
      <w:proofErr w:type="spellEnd"/>
      <w:r>
        <w:rPr>
          <w:rFonts w:ascii="Times New Roman" w:eastAsia="Times New Roman" w:hAnsi="Times New Roman" w:cs="Times New Roman"/>
          <w:sz w:val="24"/>
          <w:szCs w:val="24"/>
        </w:rPr>
        <w:t xml:space="preserve">, J., Le, A., Pinkston, J., &amp; </w:t>
      </w:r>
      <w:proofErr w:type="spellStart"/>
      <w:r>
        <w:rPr>
          <w:rFonts w:ascii="Times New Roman" w:eastAsia="Times New Roman" w:hAnsi="Times New Roman" w:cs="Times New Roman"/>
          <w:sz w:val="24"/>
          <w:szCs w:val="24"/>
        </w:rPr>
        <w:t>Yelowitz</w:t>
      </w:r>
      <w:proofErr w:type="spellEnd"/>
      <w:r>
        <w:rPr>
          <w:rFonts w:ascii="Times New Roman" w:eastAsia="Times New Roman" w:hAnsi="Times New Roman" w:cs="Times New Roman"/>
          <w:sz w:val="24"/>
          <w:szCs w:val="24"/>
        </w:rPr>
        <w:t>, A. (2020).</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Strong Social Distancing Measures In The United States Reduced The COVID-19 Growth Rate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1–8.</w:t>
      </w:r>
      <w:proofErr w:type="gramEnd"/>
      <w:r>
        <w:rPr>
          <w:rFonts w:ascii="Times New Roman" w:eastAsia="Times New Roman" w:hAnsi="Times New Roman" w:cs="Times New Roman"/>
          <w:sz w:val="24"/>
          <w:szCs w:val="24"/>
        </w:rPr>
        <w:t xml:space="preserve"> https://doi.org/10.1377/hlthaff.2020.00608</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Dahl, T. (2019).</w:t>
      </w:r>
      <w:proofErr w:type="gramEnd"/>
      <w:r>
        <w:rPr>
          <w:rFonts w:ascii="Times New Roman" w:eastAsia="Times New Roman" w:hAnsi="Times New Roman" w:cs="Times New Roman"/>
          <w:sz w:val="24"/>
          <w:szCs w:val="24"/>
        </w:rPr>
        <w:t xml:space="preserve"> Prepared to teach for sustainable development? </w:t>
      </w:r>
      <w:proofErr w:type="gramStart"/>
      <w:r>
        <w:rPr>
          <w:rFonts w:ascii="Times New Roman" w:eastAsia="Times New Roman" w:hAnsi="Times New Roman" w:cs="Times New Roman"/>
          <w:sz w:val="24"/>
          <w:szCs w:val="24"/>
        </w:rPr>
        <w:t>Student teachers' beliefs in their ability to teach for sustainable development.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Sustainability (Switzerland)</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11</w:t>
      </w:r>
      <w:r>
        <w:rPr>
          <w:rFonts w:ascii="Times New Roman" w:eastAsia="Times New Roman" w:hAnsi="Times New Roman" w:cs="Times New Roman"/>
          <w:sz w:val="24"/>
          <w:szCs w:val="24"/>
        </w:rPr>
        <w:t>(7).</w:t>
      </w:r>
      <w:proofErr w:type="gramEnd"/>
      <w:r>
        <w:rPr>
          <w:rFonts w:ascii="Times New Roman" w:eastAsia="Times New Roman" w:hAnsi="Times New Roman" w:cs="Times New Roman"/>
          <w:sz w:val="24"/>
          <w:szCs w:val="24"/>
        </w:rPr>
        <w:t xml:space="preserve"> https://doi.org/10.3390/su11071993</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Fessell</w:t>
      </w:r>
      <w:proofErr w:type="spellEnd"/>
      <w:r>
        <w:rPr>
          <w:rFonts w:ascii="Times New Roman" w:eastAsia="Times New Roman" w:hAnsi="Times New Roman" w:cs="Times New Roman"/>
          <w:sz w:val="24"/>
          <w:szCs w:val="24"/>
        </w:rPr>
        <w:t xml:space="preserve">, D., &amp; </w:t>
      </w:r>
      <w:proofErr w:type="spellStart"/>
      <w:r>
        <w:rPr>
          <w:rFonts w:ascii="Times New Roman" w:eastAsia="Times New Roman" w:hAnsi="Times New Roman" w:cs="Times New Roman"/>
          <w:sz w:val="24"/>
          <w:szCs w:val="24"/>
        </w:rPr>
        <w:t>Cherniss</w:t>
      </w:r>
      <w:proofErr w:type="spellEnd"/>
      <w:r>
        <w:rPr>
          <w:rFonts w:ascii="Times New Roman" w:eastAsia="Times New Roman" w:hAnsi="Times New Roman" w:cs="Times New Roman"/>
          <w:sz w:val="24"/>
          <w:szCs w:val="24"/>
        </w:rPr>
        <w:t>, C. (2020).</w:t>
      </w:r>
      <w:proofErr w:type="gramEnd"/>
      <w:r>
        <w:rPr>
          <w:rFonts w:ascii="Times New Roman" w:eastAsia="Times New Roman" w:hAnsi="Times New Roman" w:cs="Times New Roman"/>
          <w:sz w:val="24"/>
          <w:szCs w:val="24"/>
        </w:rPr>
        <w:t xml:space="preserve"> Coronavirus disease 2019 (COVID-19) and beyond: micro</w:t>
      </w:r>
      <w:r w:rsidR="009B3B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practices for burnout prevention and emotional wellness. </w:t>
      </w:r>
      <w:proofErr w:type="gramStart"/>
      <w:r>
        <w:rPr>
          <w:rFonts w:ascii="Times New Roman" w:eastAsia="Times New Roman" w:hAnsi="Times New Roman" w:cs="Times New Roman"/>
          <w:i/>
          <w:sz w:val="24"/>
          <w:szCs w:val="24"/>
        </w:rPr>
        <w:t xml:space="preserve">Journal of the American </w:t>
      </w:r>
      <w:r>
        <w:rPr>
          <w:rFonts w:ascii="Times New Roman" w:eastAsia="Times New Roman" w:hAnsi="Times New Roman" w:cs="Times New Roman"/>
          <w:i/>
          <w:sz w:val="24"/>
          <w:szCs w:val="24"/>
        </w:rPr>
        <w:lastRenderedPageBreak/>
        <w:t>College of Radiology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17</w:t>
      </w:r>
      <w:r>
        <w:rPr>
          <w:rFonts w:ascii="Times New Roman" w:eastAsia="Times New Roman" w:hAnsi="Times New Roman" w:cs="Times New Roman"/>
          <w:sz w:val="24"/>
          <w:szCs w:val="24"/>
        </w:rPr>
        <w:t>(6), 746.</w:t>
      </w:r>
      <w:proofErr w:type="gramEnd"/>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Frutos</w:t>
      </w:r>
      <w:proofErr w:type="spellEnd"/>
      <w:r>
        <w:rPr>
          <w:rFonts w:ascii="Times New Roman" w:eastAsia="Times New Roman" w:hAnsi="Times New Roman" w:cs="Times New Roman"/>
          <w:sz w:val="24"/>
          <w:szCs w:val="24"/>
        </w:rPr>
        <w:t>, R., Serra-</w:t>
      </w:r>
      <w:proofErr w:type="spellStart"/>
      <w:r>
        <w:rPr>
          <w:rFonts w:ascii="Times New Roman" w:eastAsia="Times New Roman" w:hAnsi="Times New Roman" w:cs="Times New Roman"/>
          <w:sz w:val="24"/>
          <w:szCs w:val="24"/>
        </w:rPr>
        <w:t>Cobo</w:t>
      </w:r>
      <w:proofErr w:type="spellEnd"/>
      <w:r>
        <w:rPr>
          <w:rFonts w:ascii="Times New Roman" w:eastAsia="Times New Roman" w:hAnsi="Times New Roman" w:cs="Times New Roman"/>
          <w:sz w:val="24"/>
          <w:szCs w:val="24"/>
        </w:rPr>
        <w:t xml:space="preserve">, J., Chen, T., &amp; </w:t>
      </w:r>
      <w:proofErr w:type="spellStart"/>
      <w:r>
        <w:rPr>
          <w:rFonts w:ascii="Times New Roman" w:eastAsia="Times New Roman" w:hAnsi="Times New Roman" w:cs="Times New Roman"/>
          <w:sz w:val="24"/>
          <w:szCs w:val="24"/>
        </w:rPr>
        <w:t>Devaux</w:t>
      </w:r>
      <w:proofErr w:type="spellEnd"/>
      <w:r>
        <w:rPr>
          <w:rFonts w:ascii="Times New Roman" w:eastAsia="Times New Roman" w:hAnsi="Times New Roman" w:cs="Times New Roman"/>
          <w:sz w:val="24"/>
          <w:szCs w:val="24"/>
        </w:rPr>
        <w:t>, CA (2020).</w:t>
      </w:r>
      <w:proofErr w:type="gramEnd"/>
      <w:r>
        <w:rPr>
          <w:rFonts w:ascii="Times New Roman" w:eastAsia="Times New Roman" w:hAnsi="Times New Roman" w:cs="Times New Roman"/>
          <w:sz w:val="24"/>
          <w:szCs w:val="24"/>
        </w:rPr>
        <w:t xml:space="preserve"> COVID-19: Time to exonerate the pangolin from the transmission of SARS-CoV-2 to humans. </w:t>
      </w:r>
      <w:proofErr w:type="gramStart"/>
      <w:r>
        <w:rPr>
          <w:rFonts w:ascii="Times New Roman" w:eastAsia="Times New Roman" w:hAnsi="Times New Roman" w:cs="Times New Roman"/>
          <w:i/>
          <w:sz w:val="24"/>
          <w:szCs w:val="24"/>
        </w:rPr>
        <w:t>Infection, Genetics</w:t>
      </w:r>
      <w:r w:rsidR="009B3B43">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and Evolution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84</w:t>
      </w:r>
      <w:r>
        <w:rPr>
          <w:rFonts w:ascii="Times New Roman" w:eastAsia="Times New Roman" w:hAnsi="Times New Roman" w:cs="Times New Roman"/>
          <w:sz w:val="24"/>
          <w:szCs w:val="24"/>
        </w:rPr>
        <w:t>, 104493.</w:t>
      </w:r>
      <w:proofErr w:type="gramEnd"/>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Gerick, J., </w:t>
      </w:r>
      <w:proofErr w:type="spellStart"/>
      <w:r>
        <w:rPr>
          <w:rFonts w:ascii="Times New Roman" w:eastAsia="Times New Roman" w:hAnsi="Times New Roman" w:cs="Times New Roman"/>
          <w:sz w:val="24"/>
          <w:szCs w:val="24"/>
        </w:rPr>
        <w:t>Eickelmann</w:t>
      </w:r>
      <w:proofErr w:type="spellEnd"/>
      <w:r>
        <w:rPr>
          <w:rFonts w:ascii="Times New Roman" w:eastAsia="Times New Roman" w:hAnsi="Times New Roman" w:cs="Times New Roman"/>
          <w:sz w:val="24"/>
          <w:szCs w:val="24"/>
        </w:rPr>
        <w:t xml:space="preserve">, B., &amp; </w:t>
      </w:r>
      <w:proofErr w:type="spellStart"/>
      <w:r>
        <w:rPr>
          <w:rFonts w:ascii="Times New Roman" w:eastAsia="Times New Roman" w:hAnsi="Times New Roman" w:cs="Times New Roman"/>
          <w:sz w:val="24"/>
          <w:szCs w:val="24"/>
        </w:rPr>
        <w:t>Bos</w:t>
      </w:r>
      <w:proofErr w:type="spellEnd"/>
      <w:r>
        <w:rPr>
          <w:rFonts w:ascii="Times New Roman" w:eastAsia="Times New Roman" w:hAnsi="Times New Roman" w:cs="Times New Roman"/>
          <w:sz w:val="24"/>
          <w:szCs w:val="24"/>
        </w:rPr>
        <w:t>, W. (2017).</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School-level predictors for the use of ICT in schools and students' CIL in international comparison.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Large-Scale Assessments in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w:t>
      </w:r>
      <w:r>
        <w:rPr>
          <w:rFonts w:ascii="Times New Roman" w:eastAsia="Times New Roman" w:hAnsi="Times New Roman" w:cs="Times New Roman"/>
          <w:sz w:val="24"/>
          <w:szCs w:val="24"/>
        </w:rPr>
        <w:t>(1).</w:t>
      </w:r>
      <w:proofErr w:type="gramEnd"/>
      <w:r>
        <w:rPr>
          <w:rFonts w:ascii="Times New Roman" w:eastAsia="Times New Roman" w:hAnsi="Times New Roman" w:cs="Times New Roman"/>
          <w:sz w:val="24"/>
          <w:szCs w:val="24"/>
        </w:rPr>
        <w:t xml:space="preserve"> https://doi.org/10.1186/s40536-017-0037-7</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Kartadinata</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Suherman</w:t>
      </w:r>
      <w:proofErr w:type="spellEnd"/>
      <w:r>
        <w:rPr>
          <w:rFonts w:ascii="Times New Roman" w:eastAsia="Times New Roman" w:hAnsi="Times New Roman" w:cs="Times New Roman"/>
          <w:sz w:val="24"/>
          <w:szCs w:val="24"/>
        </w:rPr>
        <w:t xml:space="preserve">, U., &amp; </w:t>
      </w:r>
      <w:proofErr w:type="spellStart"/>
      <w:r>
        <w:rPr>
          <w:rFonts w:ascii="Times New Roman" w:eastAsia="Times New Roman" w:hAnsi="Times New Roman" w:cs="Times New Roman"/>
          <w:sz w:val="24"/>
          <w:szCs w:val="24"/>
        </w:rPr>
        <w:t>Saripah</w:t>
      </w:r>
      <w:proofErr w:type="spellEnd"/>
      <w:r>
        <w:rPr>
          <w:rFonts w:ascii="Times New Roman" w:eastAsia="Times New Roman" w:hAnsi="Times New Roman" w:cs="Times New Roman"/>
          <w:sz w:val="24"/>
          <w:szCs w:val="24"/>
        </w:rPr>
        <w:t>, I. (2011).</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Exploring The Values ​​Of Peace In The Cultural Contexts Of Indonesian And Finnish Schools: A Study Of The Development Of Peace Pedagogy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96</w:t>
      </w:r>
      <w:r>
        <w:rPr>
          <w:rFonts w:ascii="Times New Roman" w:eastAsia="Times New Roman" w:hAnsi="Times New Roman" w:cs="Times New Roman"/>
          <w:sz w:val="24"/>
          <w:szCs w:val="24"/>
        </w:rPr>
        <w:t>(5), 1485–1504.</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Kim, M., &amp; </w:t>
      </w:r>
      <w:proofErr w:type="spellStart"/>
      <w:r>
        <w:rPr>
          <w:rFonts w:ascii="Times New Roman" w:eastAsia="Times New Roman" w:hAnsi="Times New Roman" w:cs="Times New Roman"/>
          <w:sz w:val="24"/>
          <w:szCs w:val="24"/>
        </w:rPr>
        <w:t>Beehr</w:t>
      </w:r>
      <w:proofErr w:type="spellEnd"/>
      <w:r>
        <w:rPr>
          <w:rFonts w:ascii="Times New Roman" w:eastAsia="Times New Roman" w:hAnsi="Times New Roman" w:cs="Times New Roman"/>
          <w:sz w:val="24"/>
          <w:szCs w:val="24"/>
        </w:rPr>
        <w:t>, TA (2017).</w:t>
      </w:r>
      <w:proofErr w:type="gramEnd"/>
      <w:r>
        <w:rPr>
          <w:rFonts w:ascii="Times New Roman" w:eastAsia="Times New Roman" w:hAnsi="Times New Roman" w:cs="Times New Roman"/>
          <w:sz w:val="24"/>
          <w:szCs w:val="24"/>
        </w:rPr>
        <w:t xml:space="preserve"> Self-Efficacy and Psychological Ownership Mediate the Effects of Empowering Leadership on Both Good and Bad Employee Behaviors. </w:t>
      </w:r>
      <w:r>
        <w:rPr>
          <w:rFonts w:ascii="Times New Roman" w:eastAsia="Times New Roman" w:hAnsi="Times New Roman" w:cs="Times New Roman"/>
          <w:i/>
          <w:sz w:val="24"/>
          <w:szCs w:val="24"/>
        </w:rPr>
        <w:t>Journal of Leadership and Organizational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24</w:t>
      </w:r>
      <w:r>
        <w:rPr>
          <w:rFonts w:ascii="Times New Roman" w:eastAsia="Times New Roman" w:hAnsi="Times New Roman" w:cs="Times New Roman"/>
          <w:sz w:val="24"/>
          <w:szCs w:val="24"/>
        </w:rPr>
        <w:t>(4), 466–478. https://doi.org/10.1177/1548051817702078</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Kunesh</w:t>
      </w:r>
      <w:proofErr w:type="spellEnd"/>
      <w:r>
        <w:rPr>
          <w:rFonts w:ascii="Times New Roman" w:eastAsia="Times New Roman" w:hAnsi="Times New Roman" w:cs="Times New Roman"/>
          <w:sz w:val="24"/>
          <w:szCs w:val="24"/>
        </w:rPr>
        <w:t xml:space="preserve">, CE, &amp; </w:t>
      </w:r>
      <w:proofErr w:type="spellStart"/>
      <w:r>
        <w:rPr>
          <w:rFonts w:ascii="Times New Roman" w:eastAsia="Times New Roman" w:hAnsi="Times New Roman" w:cs="Times New Roman"/>
          <w:sz w:val="24"/>
          <w:szCs w:val="24"/>
        </w:rPr>
        <w:t>Noltemeyer</w:t>
      </w:r>
      <w:proofErr w:type="spellEnd"/>
      <w:r>
        <w:rPr>
          <w:rFonts w:ascii="Times New Roman" w:eastAsia="Times New Roman" w:hAnsi="Times New Roman" w:cs="Times New Roman"/>
          <w:sz w:val="24"/>
          <w:szCs w:val="24"/>
        </w:rPr>
        <w:t>, A. (2015).</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Understanding Disciplinary Disproportionality: Stereotypes Shape Pre-Service Teachers ' Beliefs About Black Boys ' Behavior</w:t>
      </w:r>
      <w:r>
        <w:rPr>
          <w:rFonts w:ascii="Times New Roman" w:eastAsia="Times New Roman" w:hAnsi="Times New Roman" w:cs="Times New Roman"/>
          <w:sz w:val="24"/>
          <w:szCs w:val="24"/>
        </w:rPr>
        <w:t>. https://doi.org/10.1177/0042085915623337</w:t>
      </w:r>
    </w:p>
    <w:p w:rsidR="000008C7" w:rsidRDefault="00A53CF2">
      <w:pPr>
        <w:widowControl w:val="0"/>
        <w:spacing w:after="120" w:line="24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LJ Siegel, BW (2014). </w:t>
      </w:r>
      <w:r>
        <w:rPr>
          <w:rFonts w:ascii="Times New Roman" w:eastAsia="Times New Roman" w:hAnsi="Times New Roman" w:cs="Times New Roman"/>
          <w:i/>
          <w:sz w:val="24"/>
          <w:szCs w:val="24"/>
        </w:rPr>
        <w:t xml:space="preserve">CRJU 3400 Juvenile Delinquency and Justice </w:t>
      </w:r>
      <w:proofErr w:type="gramStart"/>
      <w:r>
        <w:rPr>
          <w:rFonts w:ascii="Times New Roman" w:eastAsia="Times New Roman" w:hAnsi="Times New Roman" w:cs="Times New Roman"/>
          <w:i/>
          <w:sz w:val="24"/>
          <w:szCs w:val="24"/>
        </w:rPr>
        <w:t>[ Term</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xxx</w:t>
      </w:r>
      <w:proofErr w:type="gramEnd"/>
      <w:r>
        <w:rPr>
          <w:rFonts w:ascii="Times New Roman" w:eastAsia="Times New Roman" w:hAnsi="Times New Roman" w:cs="Times New Roman"/>
          <w:sz w:val="24"/>
          <w:szCs w:val="24"/>
        </w:rPr>
        <w:t>.</w:t>
      </w:r>
    </w:p>
    <w:p w:rsidR="000008C7" w:rsidRDefault="00A53CF2">
      <w:pPr>
        <w:widowControl w:val="0"/>
        <w:spacing w:after="120" w:line="24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Miles, MB, &amp; </w:t>
      </w:r>
      <w:proofErr w:type="spellStart"/>
      <w:r>
        <w:rPr>
          <w:rFonts w:ascii="Times New Roman" w:eastAsia="Times New Roman" w:hAnsi="Times New Roman" w:cs="Times New Roman"/>
          <w:sz w:val="24"/>
          <w:szCs w:val="24"/>
        </w:rPr>
        <w:t>Huberman</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AM</w:t>
      </w:r>
      <w:proofErr w:type="gramEnd"/>
      <w:r>
        <w:rPr>
          <w:rFonts w:ascii="Times New Roman" w:eastAsia="Times New Roman" w:hAnsi="Times New Roman" w:cs="Times New Roman"/>
          <w:sz w:val="24"/>
          <w:szCs w:val="24"/>
        </w:rPr>
        <w:t xml:space="preserve"> (1994). </w:t>
      </w:r>
      <w:r>
        <w:rPr>
          <w:rFonts w:ascii="Times New Roman" w:eastAsia="Times New Roman" w:hAnsi="Times New Roman" w:cs="Times New Roman"/>
          <w:i/>
          <w:sz w:val="24"/>
          <w:szCs w:val="24"/>
        </w:rPr>
        <w:t>Qualitative data analysis: An expanded sourcebook</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sage</w:t>
      </w:r>
      <w:proofErr w:type="gramEnd"/>
      <w:r>
        <w:rPr>
          <w:rFonts w:ascii="Times New Roman" w:eastAsia="Times New Roman" w:hAnsi="Times New Roman" w:cs="Times New Roman"/>
          <w:sz w:val="24"/>
          <w:szCs w:val="24"/>
        </w:rPr>
        <w:t>.</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Park, J.-H., Lee, IH, &amp; </w:t>
      </w:r>
      <w:proofErr w:type="spellStart"/>
      <w:r>
        <w:rPr>
          <w:rFonts w:ascii="Times New Roman" w:eastAsia="Times New Roman" w:hAnsi="Times New Roman" w:cs="Times New Roman"/>
          <w:sz w:val="24"/>
          <w:szCs w:val="24"/>
        </w:rPr>
        <w:t>Cooc</w:t>
      </w:r>
      <w:proofErr w:type="spellEnd"/>
      <w:r>
        <w:rPr>
          <w:rFonts w:ascii="Times New Roman" w:eastAsia="Times New Roman" w:hAnsi="Times New Roman" w:cs="Times New Roman"/>
          <w:sz w:val="24"/>
          <w:szCs w:val="24"/>
        </w:rPr>
        <w:t>, N. (2019).</w:t>
      </w:r>
      <w:proofErr w:type="gramEnd"/>
      <w:r>
        <w:rPr>
          <w:rFonts w:ascii="Times New Roman" w:eastAsia="Times New Roman" w:hAnsi="Times New Roman" w:cs="Times New Roman"/>
          <w:sz w:val="24"/>
          <w:szCs w:val="24"/>
        </w:rPr>
        <w:t xml:space="preserve"> The role of school-level mechanisms: How principal support, professional learning communities, collective responsibility, and group-level teacher expectations affect student achievement. </w:t>
      </w:r>
      <w:r>
        <w:rPr>
          <w:rFonts w:ascii="Times New Roman" w:eastAsia="Times New Roman" w:hAnsi="Times New Roman" w:cs="Times New Roman"/>
          <w:i/>
          <w:sz w:val="24"/>
          <w:szCs w:val="24"/>
        </w:rPr>
        <w:t>Educational Administration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55</w:t>
      </w:r>
      <w:r>
        <w:rPr>
          <w:rFonts w:ascii="Times New Roman" w:eastAsia="Times New Roman" w:hAnsi="Times New Roman" w:cs="Times New Roman"/>
          <w:sz w:val="24"/>
          <w:szCs w:val="24"/>
        </w:rPr>
        <w:t>(5), 742–780.</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Perren</w:t>
      </w:r>
      <w:proofErr w:type="spellEnd"/>
      <w:r>
        <w:rPr>
          <w:rFonts w:ascii="Times New Roman" w:eastAsia="Times New Roman" w:hAnsi="Times New Roman" w:cs="Times New Roman"/>
          <w:sz w:val="24"/>
          <w:szCs w:val="24"/>
        </w:rPr>
        <w:t xml:space="preserve">, S., Herrmann, S., </w:t>
      </w:r>
      <w:proofErr w:type="spellStart"/>
      <w:r>
        <w:rPr>
          <w:rFonts w:ascii="Times New Roman" w:eastAsia="Times New Roman" w:hAnsi="Times New Roman" w:cs="Times New Roman"/>
          <w:sz w:val="24"/>
          <w:szCs w:val="24"/>
        </w:rPr>
        <w:t>Iljuschin</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Frei</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Körner</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Sticca</w:t>
      </w:r>
      <w:proofErr w:type="spellEnd"/>
      <w:r>
        <w:rPr>
          <w:rFonts w:ascii="Times New Roman" w:eastAsia="Times New Roman" w:hAnsi="Times New Roman" w:cs="Times New Roman"/>
          <w:sz w:val="24"/>
          <w:szCs w:val="24"/>
        </w:rPr>
        <w:t>, F. (2017).</w:t>
      </w:r>
      <w:proofErr w:type="gramEnd"/>
      <w:r>
        <w:rPr>
          <w:rFonts w:ascii="Times New Roman" w:eastAsia="Times New Roman" w:hAnsi="Times New Roman" w:cs="Times New Roman"/>
          <w:sz w:val="24"/>
          <w:szCs w:val="24"/>
        </w:rPr>
        <w:t xml:space="preserve"> Early Childhood Research Quarterly Child-</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educational practice in different early education settings: Associations with professionals' attitudes, self-efficacy, and professional background. </w:t>
      </w:r>
      <w:r>
        <w:rPr>
          <w:rFonts w:ascii="Times New Roman" w:eastAsia="Times New Roman" w:hAnsi="Times New Roman" w:cs="Times New Roman"/>
          <w:i/>
          <w:sz w:val="24"/>
          <w:szCs w:val="24"/>
        </w:rPr>
        <w:t>Early Childhood Research Quarterly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 137–148. https://doi.org/10.1016/j.ecresq.2016.07.001</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Retnawati</w:t>
      </w:r>
      <w:proofErr w:type="spellEnd"/>
      <w:r>
        <w:rPr>
          <w:rFonts w:ascii="Times New Roman" w:eastAsia="Times New Roman" w:hAnsi="Times New Roman" w:cs="Times New Roman"/>
          <w:sz w:val="24"/>
          <w:szCs w:val="24"/>
        </w:rPr>
        <w:t xml:space="preserve">, H., Yogyakarta, UN, </w:t>
      </w:r>
      <w:proofErr w:type="spellStart"/>
      <w:r>
        <w:rPr>
          <w:rFonts w:ascii="Times New Roman" w:eastAsia="Times New Roman" w:hAnsi="Times New Roman" w:cs="Times New Roman"/>
          <w:sz w:val="24"/>
          <w:szCs w:val="24"/>
        </w:rPr>
        <w:t>Djidu</w:t>
      </w:r>
      <w:proofErr w:type="spellEnd"/>
      <w:r>
        <w:rPr>
          <w:rFonts w:ascii="Times New Roman" w:eastAsia="Times New Roman" w:hAnsi="Times New Roman" w:cs="Times New Roman"/>
          <w:sz w:val="24"/>
          <w:szCs w:val="24"/>
        </w:rPr>
        <w:t xml:space="preserve">, H., &amp; </w:t>
      </w:r>
      <w:proofErr w:type="spellStart"/>
      <w:r>
        <w:rPr>
          <w:rFonts w:ascii="Times New Roman" w:eastAsia="Times New Roman" w:hAnsi="Times New Roman" w:cs="Times New Roman"/>
          <w:sz w:val="24"/>
          <w:szCs w:val="24"/>
        </w:rPr>
        <w:t>Kartianom</w:t>
      </w:r>
      <w:proofErr w:type="spellEnd"/>
      <w:r>
        <w:rPr>
          <w:rFonts w:ascii="Times New Roman" w:eastAsia="Times New Roman" w:hAnsi="Times New Roman" w:cs="Times New Roman"/>
          <w:sz w:val="24"/>
          <w:szCs w:val="24"/>
        </w:rPr>
        <w:t>, K. (2018).</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 xml:space="preserve">Teachers' knowledge about higher-order thinking skills and </w:t>
      </w:r>
      <w:r w:rsidR="009B3B43">
        <w:rPr>
          <w:rFonts w:ascii="Times New Roman" w:eastAsia="Times New Roman" w:hAnsi="Times New Roman" w:cs="Times New Roman"/>
          <w:i/>
          <w:sz w:val="24"/>
          <w:szCs w:val="24"/>
        </w:rPr>
        <w:t>their</w:t>
      </w:r>
      <w:r>
        <w:rPr>
          <w:rFonts w:ascii="Times New Roman" w:eastAsia="Times New Roman" w:hAnsi="Times New Roman" w:cs="Times New Roman"/>
          <w:i/>
          <w:sz w:val="24"/>
          <w:szCs w:val="24"/>
        </w:rPr>
        <w:t xml:space="preserve"> learning strategy</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April</w:t>
      </w:r>
      <w:r>
        <w:rPr>
          <w:rFonts w:ascii="Times New Roman" w:eastAsia="Times New Roman" w:hAnsi="Times New Roman" w:cs="Times New Roman"/>
          <w:sz w:val="24"/>
          <w:szCs w:val="24"/>
        </w:rPr>
        <w:t>. https://doi.org/10.33225/pec/18.76.215</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Sato, T., </w:t>
      </w:r>
      <w:proofErr w:type="spellStart"/>
      <w:r>
        <w:rPr>
          <w:rFonts w:ascii="Times New Roman" w:eastAsia="Times New Roman" w:hAnsi="Times New Roman" w:cs="Times New Roman"/>
          <w:sz w:val="24"/>
          <w:szCs w:val="24"/>
        </w:rPr>
        <w:t>Tsuda</w:t>
      </w:r>
      <w:proofErr w:type="spellEnd"/>
      <w:r>
        <w:rPr>
          <w:rFonts w:ascii="Times New Roman" w:eastAsia="Times New Roman" w:hAnsi="Times New Roman" w:cs="Times New Roman"/>
          <w:sz w:val="24"/>
          <w:szCs w:val="24"/>
        </w:rPr>
        <w:t xml:space="preserve">, E., McKay, C., </w:t>
      </w:r>
      <w:proofErr w:type="spellStart"/>
      <w:r>
        <w:rPr>
          <w:rFonts w:ascii="Times New Roman" w:eastAsia="Times New Roman" w:hAnsi="Times New Roman" w:cs="Times New Roman"/>
          <w:sz w:val="24"/>
          <w:szCs w:val="24"/>
        </w:rPr>
        <w:t>Furuta</w:t>
      </w:r>
      <w:proofErr w:type="spellEnd"/>
      <w:r>
        <w:rPr>
          <w:rFonts w:ascii="Times New Roman" w:eastAsia="Times New Roman" w:hAnsi="Times New Roman" w:cs="Times New Roman"/>
          <w:sz w:val="24"/>
          <w:szCs w:val="24"/>
        </w:rPr>
        <w:t xml:space="preserve">, Y., &amp; </w:t>
      </w:r>
      <w:proofErr w:type="spellStart"/>
      <w:r>
        <w:rPr>
          <w:rFonts w:ascii="Times New Roman" w:eastAsia="Times New Roman" w:hAnsi="Times New Roman" w:cs="Times New Roman"/>
          <w:sz w:val="24"/>
          <w:szCs w:val="24"/>
        </w:rPr>
        <w:t>Kajita</w:t>
      </w:r>
      <w:proofErr w:type="spellEnd"/>
      <w:r>
        <w:rPr>
          <w:rFonts w:ascii="Times New Roman" w:eastAsia="Times New Roman" w:hAnsi="Times New Roman" w:cs="Times New Roman"/>
          <w:sz w:val="24"/>
          <w:szCs w:val="24"/>
        </w:rPr>
        <w:t>, K. (2020).</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Japanese Elementary Teachers' Learning Experiences of Physical Education Professional Development.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Teacher Educator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55</w:t>
      </w:r>
      <w:r>
        <w:rPr>
          <w:rFonts w:ascii="Times New Roman" w:eastAsia="Times New Roman" w:hAnsi="Times New Roman" w:cs="Times New Roman"/>
          <w:sz w:val="24"/>
          <w:szCs w:val="24"/>
        </w:rPr>
        <w:t>(4), 373–391. https://doi.org/10.1080/08878730.2020.1801925</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Sciarappa</w:t>
      </w:r>
      <w:proofErr w:type="spellEnd"/>
      <w:r>
        <w:rPr>
          <w:rFonts w:ascii="Times New Roman" w:eastAsia="Times New Roman" w:hAnsi="Times New Roman" w:cs="Times New Roman"/>
          <w:sz w:val="24"/>
          <w:szCs w:val="24"/>
        </w:rPr>
        <w:t>, K., &amp; Mason, CY (2014).</w:t>
      </w:r>
      <w:proofErr w:type="gramEnd"/>
      <w:r>
        <w:rPr>
          <w:rFonts w:ascii="Times New Roman" w:eastAsia="Times New Roman" w:hAnsi="Times New Roman" w:cs="Times New Roman"/>
          <w:sz w:val="24"/>
          <w:szCs w:val="24"/>
        </w:rPr>
        <w:t xml:space="preserve"> National principal mentoring: does it achieve its purpose? </w:t>
      </w:r>
      <w:proofErr w:type="gramStart"/>
      <w:r>
        <w:rPr>
          <w:rFonts w:ascii="Times New Roman" w:eastAsia="Times New Roman" w:hAnsi="Times New Roman" w:cs="Times New Roman"/>
          <w:i/>
          <w:sz w:val="24"/>
          <w:szCs w:val="24"/>
        </w:rPr>
        <w:t>International Journal of Mentoring and Coaching in Education</w:t>
      </w:r>
      <w:r>
        <w:rPr>
          <w:rFonts w:ascii="Times New Roman" w:eastAsia="Times New Roman" w:hAnsi="Times New Roman" w:cs="Times New Roman"/>
          <w:sz w:val="24"/>
          <w:szCs w:val="24"/>
        </w:rPr>
        <w:t>.</w:t>
      </w:r>
      <w:proofErr w:type="gramEnd"/>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Solar, H., &amp; </w:t>
      </w:r>
      <w:proofErr w:type="spellStart"/>
      <w:r>
        <w:rPr>
          <w:rFonts w:ascii="Times New Roman" w:eastAsia="Times New Roman" w:hAnsi="Times New Roman" w:cs="Times New Roman"/>
          <w:sz w:val="24"/>
          <w:szCs w:val="24"/>
        </w:rPr>
        <w:t>Dockendorff</w:t>
      </w:r>
      <w:proofErr w:type="spellEnd"/>
      <w:r>
        <w:rPr>
          <w:rFonts w:ascii="Times New Roman" w:eastAsia="Times New Roman" w:hAnsi="Times New Roman" w:cs="Times New Roman"/>
          <w:sz w:val="24"/>
          <w:szCs w:val="24"/>
        </w:rPr>
        <w:t>, M. (2019).</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International Journal of Mathematical Education in Science and Technology ICT integration in mathematics initial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https://doi.org/10.1080/0020739X.2017.1341060</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Warner, S., &amp; </w:t>
      </w:r>
      <w:proofErr w:type="spellStart"/>
      <w:r>
        <w:rPr>
          <w:rFonts w:ascii="Times New Roman" w:eastAsia="Times New Roman" w:hAnsi="Times New Roman" w:cs="Times New Roman"/>
          <w:sz w:val="24"/>
          <w:szCs w:val="24"/>
        </w:rPr>
        <w:t>Kaur</w:t>
      </w:r>
      <w:proofErr w:type="spellEnd"/>
      <w:r>
        <w:rPr>
          <w:rFonts w:ascii="Times New Roman" w:eastAsia="Times New Roman" w:hAnsi="Times New Roman" w:cs="Times New Roman"/>
          <w:sz w:val="24"/>
          <w:szCs w:val="24"/>
        </w:rPr>
        <w:t>, A. (2017).</w:t>
      </w:r>
      <w:proofErr w:type="gramEnd"/>
      <w:r>
        <w:rPr>
          <w:rFonts w:ascii="Times New Roman" w:eastAsia="Times New Roman" w:hAnsi="Times New Roman" w:cs="Times New Roman"/>
          <w:sz w:val="24"/>
          <w:szCs w:val="24"/>
        </w:rPr>
        <w:t xml:space="preserve"> The Perceptions of Teachers and Students on </w:t>
      </w:r>
      <w:proofErr w:type="gramStart"/>
      <w:r>
        <w:rPr>
          <w:rFonts w:ascii="Times New Roman" w:eastAsia="Times New Roman" w:hAnsi="Times New Roman" w:cs="Times New Roman"/>
          <w:sz w:val="24"/>
          <w:szCs w:val="24"/>
        </w:rPr>
        <w:t>a 21st</w:t>
      </w:r>
      <w:proofErr w:type="gramEnd"/>
      <w:r>
        <w:rPr>
          <w:rFonts w:ascii="Times New Roman" w:eastAsia="Times New Roman" w:hAnsi="Times New Roman" w:cs="Times New Roman"/>
          <w:sz w:val="24"/>
          <w:szCs w:val="24"/>
        </w:rPr>
        <w:t xml:space="preserve"> Century Mathematics Instructional Model. </w:t>
      </w:r>
      <w:r>
        <w:rPr>
          <w:rFonts w:ascii="Times New Roman" w:eastAsia="Times New Roman" w:hAnsi="Times New Roman" w:cs="Times New Roman"/>
          <w:i/>
          <w:sz w:val="24"/>
          <w:szCs w:val="24"/>
        </w:rPr>
        <w:t>International Electronic Journal of Mathematics Education-ISSN: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12</w:t>
      </w:r>
      <w:r>
        <w:rPr>
          <w:rFonts w:ascii="Times New Roman" w:eastAsia="Times New Roman" w:hAnsi="Times New Roman" w:cs="Times New Roman"/>
          <w:sz w:val="24"/>
          <w:szCs w:val="24"/>
        </w:rPr>
        <w:t>(2), 193–215.</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Winberg</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Adedorff</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Bozalek</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Conana</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Pallitt</w:t>
      </w:r>
      <w:proofErr w:type="spellEnd"/>
      <w:r>
        <w:rPr>
          <w:rFonts w:ascii="Times New Roman" w:eastAsia="Times New Roman" w:hAnsi="Times New Roman" w:cs="Times New Roman"/>
          <w:sz w:val="24"/>
          <w:szCs w:val="24"/>
        </w:rPr>
        <w:t xml:space="preserve">, N., Wolff, K., Olsson, T., &amp; </w:t>
      </w:r>
      <w:proofErr w:type="spellStart"/>
      <w:r>
        <w:rPr>
          <w:rFonts w:ascii="Times New Roman" w:eastAsia="Times New Roman" w:hAnsi="Times New Roman" w:cs="Times New Roman"/>
          <w:sz w:val="24"/>
          <w:szCs w:val="24"/>
        </w:rPr>
        <w:t>Roxå</w:t>
      </w:r>
      <w:proofErr w:type="spellEnd"/>
      <w:r>
        <w:rPr>
          <w:rFonts w:ascii="Times New Roman" w:eastAsia="Times New Roman" w:hAnsi="Times New Roman" w:cs="Times New Roman"/>
          <w:sz w:val="24"/>
          <w:szCs w:val="24"/>
        </w:rPr>
        <w:t>, T. (2018).</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Learning to teach STEM disciplines in higher education: a critical review of the literature</w:t>
      </w:r>
      <w:r>
        <w:rPr>
          <w:rFonts w:ascii="Times New Roman" w:eastAsia="Times New Roman" w:hAnsi="Times New Roman" w:cs="Times New Roman"/>
          <w:sz w:val="24"/>
          <w:szCs w:val="24"/>
        </w:rPr>
        <w:t>.</w:t>
      </w:r>
      <w:proofErr w:type="gramEnd"/>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Yuanita</w:t>
      </w:r>
      <w:proofErr w:type="spellEnd"/>
      <w:r>
        <w:rPr>
          <w:rFonts w:ascii="Times New Roman" w:eastAsia="Times New Roman" w:hAnsi="Times New Roman" w:cs="Times New Roman"/>
          <w:sz w:val="24"/>
          <w:szCs w:val="24"/>
        </w:rPr>
        <w:t xml:space="preserve">, L., Ibrahim, M., &amp; </w:t>
      </w:r>
      <w:proofErr w:type="spellStart"/>
      <w:r>
        <w:rPr>
          <w:rFonts w:ascii="Times New Roman" w:eastAsia="Times New Roman" w:hAnsi="Times New Roman" w:cs="Times New Roman"/>
          <w:sz w:val="24"/>
          <w:szCs w:val="24"/>
        </w:rPr>
        <w:t>Prahani</w:t>
      </w:r>
      <w:proofErr w:type="spellEnd"/>
      <w:r>
        <w:rPr>
          <w:rFonts w:ascii="Times New Roman" w:eastAsia="Times New Roman" w:hAnsi="Times New Roman" w:cs="Times New Roman"/>
          <w:sz w:val="24"/>
          <w:szCs w:val="24"/>
        </w:rPr>
        <w:t>, BK (2019).</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Journal of Technology and Science Education Innovative Chemistry Learning Model: Improving </w:t>
      </w:r>
      <w:proofErr w:type="gramStart"/>
      <w:r>
        <w:rPr>
          <w:rFonts w:ascii="Times New Roman" w:eastAsia="Times New Roman" w:hAnsi="Times New Roman" w:cs="Times New Roman"/>
          <w:i/>
          <w:sz w:val="24"/>
          <w:szCs w:val="24"/>
        </w:rPr>
        <w:t>The</w:t>
      </w:r>
      <w:proofErr w:type="gramEnd"/>
      <w:r>
        <w:rPr>
          <w:rFonts w:ascii="Times New Roman" w:eastAsia="Times New Roman" w:hAnsi="Times New Roman" w:cs="Times New Roman"/>
          <w:i/>
          <w:sz w:val="24"/>
          <w:szCs w:val="24"/>
        </w:rPr>
        <w:t xml:space="preserve"> Critical Thinking Skill And Self-Efficacy Of Pre-Service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(1), 59–76.</w:t>
      </w:r>
    </w:p>
    <w:p w:rsidR="000008C7" w:rsidRDefault="00A53CF2">
      <w:pPr>
        <w:widowControl w:val="0"/>
        <w:spacing w:after="120" w:line="240" w:lineRule="auto"/>
        <w:ind w:left="480" w:hanging="48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Zhao, L., &amp; Liu, X. (2021).</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Differentiate Effect of Self-Efficacy, Motivation, and Satisfaction on Pre-Service Teacher Students' Learning Achievement in a Flipped Classroom: A Case of a Modern Educational Technology Course</w:t>
      </w:r>
      <w:r>
        <w:rPr>
          <w:rFonts w:ascii="Times New Roman" w:eastAsia="Times New Roman" w:hAnsi="Times New Roman" w:cs="Times New Roman"/>
          <w:sz w:val="24"/>
          <w:szCs w:val="24"/>
        </w:rPr>
        <w:t>.</w:t>
      </w:r>
    </w:p>
    <w:p w:rsidR="000008C7" w:rsidRDefault="000008C7">
      <w:pPr>
        <w:widowControl w:val="0"/>
        <w:spacing w:after="120" w:line="240" w:lineRule="auto"/>
        <w:ind w:left="480" w:hanging="480"/>
        <w:rPr>
          <w:rFonts w:ascii="Times New Roman" w:eastAsia="Times New Roman" w:hAnsi="Times New Roman" w:cs="Times New Roman"/>
          <w:sz w:val="24"/>
          <w:szCs w:val="24"/>
          <w:highlight w:val="white"/>
        </w:rPr>
      </w:pPr>
    </w:p>
    <w:p w:rsidR="000008C7" w:rsidRDefault="000008C7">
      <w:pPr>
        <w:spacing w:after="0" w:line="240" w:lineRule="auto"/>
      </w:pPr>
    </w:p>
    <w:p w:rsidR="000008C7" w:rsidRDefault="000008C7"/>
    <w:p w:rsidR="000008C7" w:rsidRDefault="000008C7"/>
    <w:p w:rsidR="000008C7" w:rsidRDefault="000008C7"/>
    <w:sectPr w:rsidR="000008C7">
      <w:headerReference w:type="default" r:id="rId8"/>
      <w:footerReference w:type="default" r:id="rId9"/>
      <w:headerReference w:type="first" r:id="rId10"/>
      <w:footerReference w:type="first" r:id="rId11"/>
      <w:pgSz w:w="11906" w:h="16838"/>
      <w:pgMar w:top="2835" w:right="1418" w:bottom="1531" w:left="1418" w:header="907" w:footer="79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72E" w:rsidRDefault="00B3772E">
      <w:pPr>
        <w:spacing w:after="0" w:line="240" w:lineRule="auto"/>
      </w:pPr>
      <w:r>
        <w:separator/>
      </w:r>
    </w:p>
  </w:endnote>
  <w:endnote w:type="continuationSeparator" w:id="0">
    <w:p w:rsidR="00B3772E" w:rsidRDefault="00B3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8C7" w:rsidRDefault="00A53CF2">
    <w:pPr>
      <w:pBdr>
        <w:top w:val="nil"/>
        <w:left w:val="nil"/>
        <w:bottom w:val="nil"/>
        <w:right w:val="nil"/>
        <w:between w:val="nil"/>
      </w:pBdr>
      <w:tabs>
        <w:tab w:val="center" w:pos="4536"/>
        <w:tab w:val="right" w:pos="9072"/>
      </w:tabs>
      <w:spacing w:after="0" w:line="240" w:lineRule="auto"/>
      <w:ind w:firstLine="567"/>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33BEE">
      <w:rPr>
        <w:rFonts w:ascii="Arial" w:eastAsia="Arial" w:hAnsi="Arial" w:cs="Arial"/>
        <w:noProof/>
        <w:color w:val="000000"/>
        <w:sz w:val="18"/>
        <w:szCs w:val="18"/>
      </w:rPr>
      <w:t>1</w:t>
    </w:r>
    <w:r>
      <w:rPr>
        <w:rFonts w:ascii="Arial" w:eastAsia="Arial" w:hAnsi="Arial" w:cs="Arial"/>
        <w:color w:val="000000"/>
        <w:sz w:val="18"/>
        <w:szCs w:val="18"/>
      </w:rPr>
      <w:fldChar w:fldCharType="end"/>
    </w:r>
    <w:r>
      <w:rPr>
        <w:noProof/>
        <w:lang w:val="en-US"/>
      </w:rPr>
      <w:drawing>
        <wp:anchor distT="0" distB="0" distL="114300" distR="114300" simplePos="0" relativeHeight="251662336" behindDoc="0" locked="0" layoutInCell="1" hidden="0" allowOverlap="1">
          <wp:simplePos x="0" y="0"/>
          <wp:positionH relativeFrom="column">
            <wp:posOffset>5626100</wp:posOffset>
          </wp:positionH>
          <wp:positionV relativeFrom="paragraph">
            <wp:posOffset>-985519</wp:posOffset>
          </wp:positionV>
          <wp:extent cx="1035445" cy="1608375"/>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35445" cy="1608375"/>
                  </a:xfrm>
                  <a:prstGeom prst="rect">
                    <a:avLst/>
                  </a:prstGeom>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8C7" w:rsidRDefault="00A53CF2">
    <w:pPr>
      <w:pBdr>
        <w:top w:val="nil"/>
        <w:left w:val="nil"/>
        <w:bottom w:val="nil"/>
        <w:right w:val="nil"/>
        <w:between w:val="nil"/>
      </w:pBdr>
      <w:tabs>
        <w:tab w:val="center" w:pos="4536"/>
        <w:tab w:val="right" w:pos="9072"/>
      </w:tabs>
      <w:spacing w:after="0" w:line="240" w:lineRule="auto"/>
      <w:ind w:firstLine="567"/>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end"/>
    </w:r>
    <w:r>
      <w:rPr>
        <w:noProof/>
        <w:lang w:val="en-US"/>
      </w:rPr>
      <w:drawing>
        <wp:anchor distT="0" distB="0" distL="114300" distR="114300" simplePos="0" relativeHeight="251663360" behindDoc="0" locked="0" layoutInCell="1" hidden="0" allowOverlap="1">
          <wp:simplePos x="0" y="0"/>
          <wp:positionH relativeFrom="column">
            <wp:posOffset>5598160</wp:posOffset>
          </wp:positionH>
          <wp:positionV relativeFrom="paragraph">
            <wp:posOffset>-982979</wp:posOffset>
          </wp:positionV>
          <wp:extent cx="1035445" cy="1608375"/>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35445" cy="160837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72E" w:rsidRDefault="00B3772E">
      <w:pPr>
        <w:spacing w:after="0" w:line="240" w:lineRule="auto"/>
      </w:pPr>
      <w:r>
        <w:separator/>
      </w:r>
    </w:p>
  </w:footnote>
  <w:footnote w:type="continuationSeparator" w:id="0">
    <w:p w:rsidR="00B3772E" w:rsidRDefault="00B377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8C7" w:rsidRDefault="00A53CF2">
    <w:pPr>
      <w:pBdr>
        <w:top w:val="nil"/>
        <w:left w:val="nil"/>
        <w:bottom w:val="nil"/>
        <w:right w:val="nil"/>
        <w:between w:val="nil"/>
      </w:pBdr>
      <w:tabs>
        <w:tab w:val="center" w:pos="4536"/>
        <w:tab w:val="right" w:pos="9072"/>
      </w:tabs>
      <w:spacing w:after="0" w:line="240" w:lineRule="auto"/>
      <w:rPr>
        <w:rFonts w:ascii="Arial" w:eastAsia="Arial" w:hAnsi="Arial" w:cs="Arial"/>
        <w:color w:val="000000"/>
        <w:sz w:val="18"/>
        <w:szCs w:val="18"/>
      </w:rPr>
    </w:pPr>
    <w:r>
      <w:rPr>
        <w:noProof/>
        <w:lang w:val="en-US"/>
      </w:rPr>
      <w:drawing>
        <wp:anchor distT="0" distB="0" distL="114300" distR="114300" simplePos="0" relativeHeight="251658240" behindDoc="0" locked="0" layoutInCell="1" hidden="0" allowOverlap="1">
          <wp:simplePos x="0" y="0"/>
          <wp:positionH relativeFrom="column">
            <wp:posOffset>-941069</wp:posOffset>
          </wp:positionH>
          <wp:positionV relativeFrom="paragraph">
            <wp:posOffset>-565784</wp:posOffset>
          </wp:positionV>
          <wp:extent cx="7606030" cy="178308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405" b="21427"/>
                  <a:stretch>
                    <a:fillRect/>
                  </a:stretch>
                </pic:blipFill>
                <pic:spPr>
                  <a:xfrm>
                    <a:off x="0" y="0"/>
                    <a:ext cx="7606030" cy="1783080"/>
                  </a:xfrm>
                  <a:prstGeom prst="rect">
                    <a:avLst/>
                  </a:prstGeom>
                  <a:ln/>
                </pic:spPr>
              </pic:pic>
            </a:graphicData>
          </a:graphic>
        </wp:anchor>
      </w:drawing>
    </w:r>
    <w:r>
      <w:rPr>
        <w:noProof/>
        <w:lang w:val="en-US"/>
      </w:rPr>
      <w:drawing>
        <wp:anchor distT="0" distB="0" distL="114300" distR="114300" simplePos="0" relativeHeight="251659264" behindDoc="0" locked="0" layoutInCell="1" hidden="0" allowOverlap="1">
          <wp:simplePos x="0" y="0"/>
          <wp:positionH relativeFrom="column">
            <wp:posOffset>2570838</wp:posOffset>
          </wp:positionH>
          <wp:positionV relativeFrom="paragraph">
            <wp:posOffset>-27304</wp:posOffset>
          </wp:positionV>
          <wp:extent cx="3176613" cy="849988"/>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3176613" cy="849988"/>
                  </a:xfrm>
                  <a:prstGeom prst="rect">
                    <a:avLst/>
                  </a:prstGeom>
                  <a:ln/>
                </pic:spPr>
              </pic:pic>
            </a:graphicData>
          </a:graphic>
        </wp:anchor>
      </w:drawing>
    </w:r>
    <w:r>
      <w:rPr>
        <w:noProof/>
        <w:lang w:val="en-US"/>
      </w:rPr>
      <w:drawing>
        <wp:anchor distT="0" distB="0" distL="114300" distR="114300" simplePos="0" relativeHeight="251660288" behindDoc="0" locked="0" layoutInCell="1" hidden="0" allowOverlap="1">
          <wp:simplePos x="0" y="0"/>
          <wp:positionH relativeFrom="column">
            <wp:posOffset>120116</wp:posOffset>
          </wp:positionH>
          <wp:positionV relativeFrom="paragraph">
            <wp:posOffset>-372744</wp:posOffset>
          </wp:positionV>
          <wp:extent cx="2429143" cy="1492377"/>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2429143" cy="1492377"/>
                  </a:xfrm>
                  <a:prstGeom prst="rect">
                    <a:avLst/>
                  </a:prstGeom>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8C7" w:rsidRDefault="00A53CF2">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rPr>
    </w:pPr>
    <w:r>
      <w:rPr>
        <w:noProof/>
        <w:lang w:val="en-US"/>
      </w:rPr>
      <mc:AlternateContent>
        <mc:Choice Requires="wpg">
          <w:drawing>
            <wp:anchor distT="0" distB="0" distL="114300" distR="114300" simplePos="0" relativeHeight="251661312" behindDoc="0" locked="0" layoutInCell="1" hidden="0" allowOverlap="1">
              <wp:simplePos x="0" y="0"/>
              <wp:positionH relativeFrom="column">
                <wp:posOffset>-888999</wp:posOffset>
              </wp:positionH>
              <wp:positionV relativeFrom="paragraph">
                <wp:posOffset>-558799</wp:posOffset>
              </wp:positionV>
              <wp:extent cx="7524750" cy="1783080"/>
              <wp:effectExtent l="0" t="0" r="0" b="0"/>
              <wp:wrapNone/>
              <wp:docPr id="1" name="Group 1"/>
              <wp:cNvGraphicFramePr/>
              <a:graphic xmlns:a="http://schemas.openxmlformats.org/drawingml/2006/main">
                <a:graphicData uri="http://schemas.microsoft.com/office/word/2010/wordprocessingGroup">
                  <wpg:wgp>
                    <wpg:cNvGrpSpPr/>
                    <wpg:grpSpPr>
                      <a:xfrm>
                        <a:off x="0" y="0"/>
                        <a:ext cx="7524750" cy="1783080"/>
                        <a:chOff x="1583625" y="2888460"/>
                        <a:chExt cx="7524750" cy="1783080"/>
                      </a:xfrm>
                    </wpg:grpSpPr>
                    <wpg:grpSp>
                      <wpg:cNvPr id="2" name="Group 2"/>
                      <wpg:cNvGrpSpPr/>
                      <wpg:grpSpPr>
                        <a:xfrm>
                          <a:off x="1583625" y="2888460"/>
                          <a:ext cx="7524750" cy="1783080"/>
                          <a:chOff x="0" y="0"/>
                          <a:chExt cx="7524750" cy="1783080"/>
                        </a:xfrm>
                      </wpg:grpSpPr>
                      <wps:wsp>
                        <wps:cNvPr id="7" name="Rectangle 3"/>
                        <wps:cNvSpPr/>
                        <wps:spPr>
                          <a:xfrm>
                            <a:off x="0" y="0"/>
                            <a:ext cx="7524750" cy="1783075"/>
                          </a:xfrm>
                          <a:prstGeom prst="rect">
                            <a:avLst/>
                          </a:prstGeom>
                          <a:noFill/>
                          <a:ln>
                            <a:noFill/>
                          </a:ln>
                        </wps:spPr>
                        <wps:txbx>
                          <w:txbxContent>
                            <w:p w:rsidR="000008C7" w:rsidRDefault="000008C7">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4"/>
                          <pic:cNvPicPr preferRelativeResize="0"/>
                        </pic:nvPicPr>
                        <pic:blipFill rotWithShape="1">
                          <a:blip r:embed="rId1">
                            <a:alphaModFix amt="50000"/>
                          </a:blip>
                          <a:srcRect t="8405" b="21427"/>
                          <a:stretch/>
                        </pic:blipFill>
                        <pic:spPr>
                          <a:xfrm>
                            <a:off x="0" y="0"/>
                            <a:ext cx="7524750" cy="1783080"/>
                          </a:xfrm>
                          <a:prstGeom prst="rect">
                            <a:avLst/>
                          </a:prstGeom>
                          <a:noFill/>
                          <a:ln>
                            <a:noFill/>
                          </a:ln>
                        </pic:spPr>
                      </pic:pic>
                      <pic:pic xmlns:pic="http://schemas.openxmlformats.org/drawingml/2006/picture">
                        <pic:nvPicPr>
                          <pic:cNvPr id="9" name="Shape 5"/>
                          <pic:cNvPicPr preferRelativeResize="0"/>
                        </pic:nvPicPr>
                        <pic:blipFill rotWithShape="1">
                          <a:blip r:embed="rId2">
                            <a:alphaModFix/>
                          </a:blip>
                          <a:srcRect/>
                          <a:stretch/>
                        </pic:blipFill>
                        <pic:spPr>
                          <a:xfrm>
                            <a:off x="3464560" y="538480"/>
                            <a:ext cx="3141345" cy="849630"/>
                          </a:xfrm>
                          <a:prstGeom prst="rect">
                            <a:avLst/>
                          </a:prstGeom>
                          <a:noFill/>
                          <a:ln>
                            <a:noFill/>
                          </a:ln>
                        </pic:spPr>
                      </pic:pic>
                      <pic:pic xmlns:pic="http://schemas.openxmlformats.org/drawingml/2006/picture">
                        <pic:nvPicPr>
                          <pic:cNvPr id="10" name="Shape 6"/>
                          <pic:cNvPicPr preferRelativeResize="0"/>
                        </pic:nvPicPr>
                        <pic:blipFill rotWithShape="1">
                          <a:blip r:embed="rId3">
                            <a:alphaModFix/>
                          </a:blip>
                          <a:srcRect/>
                          <a:stretch/>
                        </pic:blipFill>
                        <pic:spPr>
                          <a:xfrm>
                            <a:off x="1005840" y="193040"/>
                            <a:ext cx="2400935" cy="1490980"/>
                          </a:xfrm>
                          <a:prstGeom prst="rect">
                            <a:avLst/>
                          </a:prstGeom>
                          <a:noFill/>
                          <a:ln>
                            <a:noFill/>
                          </a:ln>
                        </pic:spPr>
                      </pic:pic>
                    </wpg:grpSp>
                  </wpg:wg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-888999</wp:posOffset>
              </wp:positionH>
              <wp:positionV relativeFrom="paragraph">
                <wp:posOffset>-558799</wp:posOffset>
              </wp:positionV>
              <wp:extent cx="7524750" cy="1783080"/>
              <wp:effectExtent b="0" l="0" r="0" t="0"/>
              <wp:wrapNone/>
              <wp:docPr id="1" name="image4.png"/>
              <a:graphic>
                <a:graphicData uri="http://schemas.openxmlformats.org/drawingml/2006/picture">
                  <pic:pic>
                    <pic:nvPicPr>
                      <pic:cNvPr id="0" name="image4.png"/>
                      <pic:cNvPicPr preferRelativeResize="0"/>
                    </pic:nvPicPr>
                    <pic:blipFill>
                      <a:blip r:embed="rId4"/>
                      <a:srcRect/>
                      <a:stretch>
                        <a:fillRect/>
                      </a:stretch>
                    </pic:blipFill>
                    <pic:spPr>
                      <a:xfrm>
                        <a:off x="0" y="0"/>
                        <a:ext cx="7524750" cy="178308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9525C"/>
    <w:multiLevelType w:val="multilevel"/>
    <w:tmpl w:val="A8EE4F2E"/>
    <w:lvl w:ilvl="0">
      <w:start w:val="1"/>
      <w:numFmt w:val="decimal"/>
      <w:lvlText w:val="%1"/>
      <w:lvlJc w:val="left"/>
      <w:pPr>
        <w:ind w:left="855" w:hanging="855"/>
      </w:pPr>
    </w:lvl>
    <w:lvl w:ilvl="1">
      <w:start w:val="1"/>
      <w:numFmt w:val="decimal"/>
      <w:lvlText w:val="%1.%2"/>
      <w:lvlJc w:val="left"/>
      <w:pPr>
        <w:ind w:left="855" w:hanging="855"/>
      </w:pPr>
    </w:lvl>
    <w:lvl w:ilvl="2">
      <w:start w:val="1"/>
      <w:numFmt w:val="decimal"/>
      <w:lvlText w:val="%1.%2.%3"/>
      <w:lvlJc w:val="left"/>
      <w:pPr>
        <w:ind w:left="855" w:hanging="855"/>
      </w:pPr>
    </w:lvl>
    <w:lvl w:ilvl="3">
      <w:start w:val="1"/>
      <w:numFmt w:val="decimal"/>
      <w:lvlText w:val="%1.%2.%3.%4"/>
      <w:lvlJc w:val="left"/>
      <w:pPr>
        <w:ind w:left="855" w:hanging="855"/>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Nzc1NzE3MzMxMDAwNbFU0lEKTi0uzszPAykwqgUAc0A3eywAAAA="/>
  </w:docVars>
  <w:rsids>
    <w:rsidRoot w:val="000008C7"/>
    <w:rsid w:val="000008C7"/>
    <w:rsid w:val="002F7599"/>
    <w:rsid w:val="00455C73"/>
    <w:rsid w:val="009B3B43"/>
    <w:rsid w:val="00A53CF2"/>
    <w:rsid w:val="00AE0374"/>
    <w:rsid w:val="00B3772E"/>
    <w:rsid w:val="00D3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tabs>
        <w:tab w:val="left" w:pos="567"/>
      </w:tabs>
      <w:spacing w:before="520" w:after="260" w:line="260" w:lineRule="auto"/>
      <w:ind w:left="567" w:hanging="567"/>
      <w:outlineLvl w:val="0"/>
    </w:pPr>
    <w:rPr>
      <w:rFonts w:ascii="Arial" w:eastAsia="Arial" w:hAnsi="Arial" w:cs="Arial"/>
      <w:b/>
    </w:rPr>
  </w:style>
  <w:style w:type="paragraph" w:styleId="Heading2">
    <w:name w:val="heading 2"/>
    <w:basedOn w:val="Normal"/>
    <w:next w:val="Normal"/>
    <w:pPr>
      <w:keepNext/>
      <w:tabs>
        <w:tab w:val="left" w:pos="567"/>
      </w:tabs>
      <w:spacing w:before="260" w:after="260" w:line="260" w:lineRule="auto"/>
      <w:ind w:left="567" w:hanging="567"/>
      <w:outlineLvl w:val="1"/>
    </w:pPr>
    <w:rPr>
      <w:rFonts w:ascii="Arial" w:eastAsia="Arial" w:hAnsi="Arial" w:cs="Arial"/>
      <w:b/>
    </w:rPr>
  </w:style>
  <w:style w:type="paragraph" w:styleId="Heading3">
    <w:name w:val="heading 3"/>
    <w:basedOn w:val="Normal"/>
    <w:next w:val="Normal"/>
    <w:pPr>
      <w:keepNext/>
      <w:spacing w:after="240" w:line="240" w:lineRule="auto"/>
      <w:ind w:left="567" w:hanging="567"/>
      <w:jc w:val="both"/>
      <w:outlineLvl w:val="2"/>
    </w:pPr>
    <w:rPr>
      <w:rFonts w:ascii="Arial" w:eastAsia="Arial" w:hAnsi="Arial" w:cs="Arial"/>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tabs>
        <w:tab w:val="left" w:pos="567"/>
      </w:tabs>
      <w:spacing w:before="520" w:after="260" w:line="260" w:lineRule="auto"/>
      <w:ind w:left="567" w:hanging="567"/>
      <w:outlineLvl w:val="0"/>
    </w:pPr>
    <w:rPr>
      <w:rFonts w:ascii="Arial" w:eastAsia="Arial" w:hAnsi="Arial" w:cs="Arial"/>
      <w:b/>
    </w:rPr>
  </w:style>
  <w:style w:type="paragraph" w:styleId="Heading2">
    <w:name w:val="heading 2"/>
    <w:basedOn w:val="Normal"/>
    <w:next w:val="Normal"/>
    <w:pPr>
      <w:keepNext/>
      <w:tabs>
        <w:tab w:val="left" w:pos="567"/>
      </w:tabs>
      <w:spacing w:before="260" w:after="260" w:line="260" w:lineRule="auto"/>
      <w:ind w:left="567" w:hanging="567"/>
      <w:outlineLvl w:val="1"/>
    </w:pPr>
    <w:rPr>
      <w:rFonts w:ascii="Arial" w:eastAsia="Arial" w:hAnsi="Arial" w:cs="Arial"/>
      <w:b/>
    </w:rPr>
  </w:style>
  <w:style w:type="paragraph" w:styleId="Heading3">
    <w:name w:val="heading 3"/>
    <w:basedOn w:val="Normal"/>
    <w:next w:val="Normal"/>
    <w:pPr>
      <w:keepNext/>
      <w:spacing w:after="240" w:line="240" w:lineRule="auto"/>
      <w:ind w:left="567" w:hanging="567"/>
      <w:jc w:val="both"/>
      <w:outlineLvl w:val="2"/>
    </w:pPr>
    <w:rPr>
      <w:rFonts w:ascii="Arial" w:eastAsia="Arial" w:hAnsi="Arial" w:cs="Arial"/>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5.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3608</Words>
  <Characters>20571</Characters>
  <Application>Microsoft Office Word</Application>
  <DocSecurity>0</DocSecurity>
  <Lines>171</Lines>
  <Paragraphs>48</Paragraphs>
  <ScaleCrop>false</ScaleCrop>
  <Company/>
  <LinksUpToDate>false</LinksUpToDate>
  <CharactersWithSpaces>24131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2021-10-01T15:07:00Z</dcterms:created>
  <dcterms:modified xsi:type="dcterms:W3CDTF">2021-10-01T15:54:00Z</dcterms:modified>
</cp:coreProperties>
</file>